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vTitlereport"/>
        <w:rPr>
          <w:color w:val="000000"/>
          <w:sz w:val="22"/>
          <w:szCs w:val="22"/>
          <w:highlight w:val="white"/>
        </w:rPr>
      </w:pPr>
      <w:bookmarkStart w:id="0" w:name="_Hlk56887809"/>
      <w:bookmarkEnd w:id="0"/>
      <w:r>
        <w:rPr>
          <w:color w:val="000000"/>
          <w:sz w:val="22"/>
          <w:szCs w:val="22"/>
          <w:shd w:fill="FFFFFF" w:val="clear"/>
          <w:lang w:eastAsia="ja-JP"/>
        </w:rPr>
        <w:t xml:space="preserve">Сравнение параметров водородных и гелиевых разрядов в малом токамаке </w:t>
      </w:r>
      <w:r>
        <w:rPr>
          <w:color w:val="000000"/>
          <w:sz w:val="22"/>
          <w:szCs w:val="22"/>
          <w:shd w:fill="FFFFFF" w:val="clear"/>
          <w:lang w:val="en-US" w:eastAsia="ja-JP"/>
        </w:rPr>
        <w:t>golem</w:t>
      </w:r>
    </w:p>
    <w:p>
      <w:pPr>
        <w:pStyle w:val="ZvAuthor"/>
        <w:rPr/>
      </w:pPr>
      <w:r>
        <w:rPr>
          <w:u w:val="single"/>
          <w:vertAlign w:val="superscript"/>
        </w:rPr>
        <w:t>1</w:t>
      </w:r>
      <w:r>
        <w:rPr>
          <w:u w:val="single"/>
        </w:rPr>
        <w:t>Г.А. Саранча</w:t>
      </w:r>
      <w:r>
        <w:rPr/>
        <w:t>, *</w:t>
      </w:r>
      <w:r>
        <w:rPr>
          <w:vertAlign w:val="superscript"/>
        </w:rPr>
        <w:t>2</w:t>
      </w:r>
      <w:r>
        <w:rPr/>
        <w:t>В. Свобода, *</w:t>
      </w:r>
      <w:r>
        <w:rPr>
          <w:vertAlign w:val="superscript"/>
        </w:rPr>
        <w:t>3</w:t>
      </w:r>
      <w:r>
        <w:rPr/>
        <w:t xml:space="preserve">Я. Штокель, </w:t>
      </w:r>
      <w:r>
        <w:rPr>
          <w:vertAlign w:val="superscript"/>
        </w:rPr>
        <w:t>1,4</w:t>
      </w:r>
      <w:r>
        <w:rPr/>
        <w:t>А.В. Мельников</w:t>
      </w:r>
    </w:p>
    <w:p>
      <w:pPr>
        <w:pStyle w:val="ZvOrganization"/>
        <w:rPr/>
      </w:pPr>
      <w:r>
        <w:rPr/>
        <w:t xml:space="preserve">НИЦ «Курчатовский институт», Москва, Россия, </w:t>
      </w:r>
      <w:r>
        <w:rPr>
          <w:lang w:val="en-US"/>
        </w:rPr>
        <w:t>e</w:t>
      </w:r>
      <w:r>
        <w:rPr/>
        <w:t>-</w:t>
      </w:r>
      <w:r>
        <w:rPr>
          <w:lang w:val="en-US"/>
        </w:rPr>
        <w:t>mail</w:t>
      </w:r>
      <w:r>
        <w:rPr/>
        <w:t xml:space="preserve">: </w:t>
      </w:r>
      <w:r>
        <w:rPr>
          <w:lang w:val="en-US"/>
        </w:rPr>
        <w:t>nrcki</w:t>
      </w:r>
      <w:r>
        <w:rPr/>
        <w:t>@</w:t>
      </w:r>
      <w:r>
        <w:rPr>
          <w:lang w:val="en-US"/>
        </w:rPr>
        <w:t>nrcki</w:t>
      </w:r>
      <w:r>
        <w:rPr/>
        <w:t>.</w:t>
      </w:r>
      <w:r>
        <w:rPr>
          <w:lang w:val="en-US"/>
        </w:rPr>
        <w:t>ru</w:t>
      </w:r>
      <w:r>
        <w:rPr/>
        <w:t xml:space="preserve"> </w:t>
        <w:br/>
      </w:r>
      <w:r>
        <w:rPr>
          <w:vertAlign w:val="superscript"/>
        </w:rPr>
        <w:t>1</w:t>
      </w:r>
      <w:r>
        <w:rPr/>
        <w:t xml:space="preserve">Московский физико-технический институт (НИУ), Москва, Россия, </w:t>
      </w:r>
      <w:r>
        <w:rPr>
          <w:lang w:val="en-US"/>
        </w:rPr>
        <w:t>e</w:t>
      </w:r>
      <w:r>
        <w:rPr/>
        <w:t>-</w:t>
      </w:r>
      <w:r>
        <w:rPr>
          <w:lang w:val="en-US"/>
        </w:rPr>
        <w:t>mail</w:t>
      </w:r>
      <w:r>
        <w:rPr/>
        <w:t xml:space="preserve">: </w:t>
      </w:r>
      <w:r>
        <w:rPr>
          <w:lang w:val="en-US"/>
        </w:rPr>
        <w:t>info</w:t>
      </w:r>
      <w:r>
        <w:rPr/>
        <w:t>@</w:t>
      </w:r>
      <w:r>
        <w:rPr>
          <w:lang w:val="en-US"/>
        </w:rPr>
        <w:t>mipt</w:t>
      </w:r>
      <w:r>
        <w:rPr/>
        <w:t>.</w:t>
      </w:r>
      <w:r>
        <w:rPr>
          <w:lang w:val="en-US"/>
        </w:rPr>
        <w:t>ru</w:t>
      </w:r>
      <w:r>
        <w:rPr>
          <w:rStyle w:val="InternetLink"/>
        </w:rPr>
        <w:br/>
      </w:r>
      <w:r>
        <w:rPr>
          <w:vertAlign w:val="superscript"/>
        </w:rPr>
        <w:t>2</w:t>
      </w:r>
      <w:r>
        <w:rPr/>
        <w:t xml:space="preserve">Факультет ядерной физики и инженерии при Чешском техническом университете в Праге, Чешская Республика, </w:t>
      </w:r>
      <w:r>
        <w:rPr>
          <w:lang w:val="en-US"/>
        </w:rPr>
        <w:t>e</w:t>
      </w:r>
      <w:r>
        <w:rPr/>
        <w:t>-</w:t>
      </w:r>
      <w:r>
        <w:rPr>
          <w:lang w:val="en-US"/>
        </w:rPr>
        <w:t>mail</w:t>
      </w:r>
      <w:r>
        <w:rPr/>
        <w:t>: info@fjfi.cvut.cz</w:t>
        <w:br/>
      </w:r>
      <w:r>
        <w:rPr>
          <w:vertAlign w:val="superscript"/>
        </w:rPr>
        <w:t>3</w:t>
      </w:r>
      <w:r>
        <w:rPr/>
        <w:t xml:space="preserve">Институт физики плазмы, Прага, Чешская Республика, </w:t>
      </w:r>
      <w:r>
        <w:rPr>
          <w:lang w:val="en-US"/>
        </w:rPr>
        <w:t>e</w:t>
      </w:r>
      <w:r>
        <w:rPr/>
        <w:t>-</w:t>
      </w:r>
      <w:r>
        <w:rPr>
          <w:lang w:val="en-US"/>
        </w:rPr>
        <w:t>mail</w:t>
      </w:r>
      <w:r>
        <w:rPr/>
        <w:t>: ipp@ipp.cas.cz</w:t>
      </w:r>
      <w:r>
        <w:rPr>
          <w:rStyle w:val="InternetLink"/>
        </w:rPr>
        <w:br/>
      </w:r>
      <w:r>
        <w:rPr>
          <w:vertAlign w:val="superscript"/>
        </w:rPr>
        <w:t>4</w:t>
      </w:r>
      <w:r>
        <w:rPr/>
        <w:t>Национальный исследовательский ядерный университет «МИФИ», Москва, Россия,</w:t>
        <w:br/>
        <w:t xml:space="preserve">e-mail: </w:t>
      </w:r>
      <w:r>
        <w:rPr>
          <w:lang w:val="en-US"/>
        </w:rPr>
        <w:t>info</w:t>
      </w:r>
      <w:r>
        <w:rPr/>
        <w:t>@</w:t>
      </w:r>
      <w:r>
        <w:rPr>
          <w:lang w:val="en-US"/>
        </w:rPr>
        <w:t>mephi</w:t>
      </w:r>
      <w:r>
        <w:rPr/>
        <w:t>.</w:t>
      </w:r>
      <w:r>
        <w:rPr>
          <w:lang w:val="en-US"/>
        </w:rPr>
        <w:t>ru</w:t>
      </w:r>
      <w:bookmarkStart w:id="1" w:name="_Hlk56950233"/>
      <w:bookmarkEnd w:id="1"/>
    </w:p>
    <w:p>
      <w:pPr>
        <w:pStyle w:val="Zvbodyreport"/>
        <w:rPr>
          <w:lang w:eastAsia="ja-JP"/>
        </w:rPr>
      </w:pPr>
      <w:r>
        <w:rPr/>
        <w:t xml:space="preserve">Для исследования термоядерной плазмы с параметрами, приближающимися к параметрам будущего реактора, </w:t>
      </w:r>
      <w:r>
        <w:rPr>
          <w:lang w:eastAsia="ja-JP"/>
        </w:rPr>
        <w:t>строятся</w:t>
      </w:r>
      <w:r>
        <w:rPr/>
        <w:t xml:space="preserve"> всё бó</w:t>
      </w:r>
      <w:r>
        <w:rPr>
          <w:lang w:eastAsia="ja-JP"/>
        </w:rPr>
        <w:t>льшие по размерам установки, требующие больших финансовы</w:t>
      </w:r>
      <w:r>
        <w:rPr/>
        <w:t>х и трудовых ресурсов, а главное – времени. Вполне может сложится ситуация, когда в начале работы крупной установки на ней уже не будет ни одного проектировавшего её человека. Поэтому необходимо вести непрерывную подготовку кадров. Это проще делать на токамаках малых размеров [1], таких как МИФИСТ [2], Глобус-</w:t>
      </w:r>
      <w:r>
        <w:rPr>
          <w:lang w:eastAsia="ja-JP"/>
        </w:rPr>
        <w:t>М2</w:t>
      </w:r>
      <w:r>
        <w:rPr/>
        <w:t xml:space="preserve"> [3] или </w:t>
      </w:r>
      <w:r>
        <w:rPr>
          <w:lang w:val="en-US"/>
        </w:rPr>
        <w:t>GOLEM</w:t>
      </w:r>
      <w:r>
        <w:rPr/>
        <w:t xml:space="preserve"> [4].</w:t>
      </w:r>
    </w:p>
    <w:p>
      <w:pPr>
        <w:pStyle w:val="Zvbodyreport"/>
        <w:rPr/>
      </w:pPr>
      <w:r>
        <mc:AlternateContent>
          <mc:Choice Requires="wpg">
            <w:drawing>
              <wp:anchor behindDoc="0" distT="0" distB="0" distL="114300" distR="113665" simplePos="0" locked="0" layoutInCell="1" allowOverlap="1" relativeHeight="4" wp14:anchorId="5AC84A27">
                <wp:simplePos x="0" y="0"/>
                <wp:positionH relativeFrom="column">
                  <wp:posOffset>13335</wp:posOffset>
                </wp:positionH>
                <wp:positionV relativeFrom="page">
                  <wp:posOffset>4924425</wp:posOffset>
                </wp:positionV>
                <wp:extent cx="3136900" cy="2172335"/>
                <wp:effectExtent l="0" t="0" r="6985" b="0"/>
                <wp:wrapSquare wrapText="bothSides"/>
                <wp:docPr id="1" name="Группа 4"/>
                <a:graphic xmlns:a="http://schemas.openxmlformats.org/drawingml/2006/main">
                  <a:graphicData uri="http://schemas.microsoft.com/office/word/2010/wordprocessingGroup">
                    <wpg:wgp>
                      <wpg:cNvGrpSpPr/>
                      <wpg:grpSpPr>
                        <a:xfrm>
                          <a:off x="0" y="0"/>
                          <a:ext cx="3136320" cy="2171880"/>
                        </a:xfrm>
                      </wpg:grpSpPr>
                      <wps:wsp>
                        <wps:cNvSpPr/>
                        <wps:spPr>
                          <a:xfrm>
                            <a:off x="0" y="1774080"/>
                            <a:ext cx="3067200" cy="397440"/>
                          </a:xfrm>
                          <a:prstGeom prst="rect">
                            <a:avLst/>
                          </a:prstGeom>
                          <a:solidFill>
                            <a:srgbClr val="ffffff"/>
                          </a:solidFill>
                          <a:ln>
                            <a:noFill/>
                          </a:ln>
                        </wps:spPr>
                        <wps:style>
                          <a:lnRef idx="0"/>
                          <a:fillRef idx="0"/>
                          <a:effectRef idx="0"/>
                          <a:fontRef idx="minor"/>
                        </wps:style>
                        <wps:txbx>
                          <w:txbxContent>
                            <w:p>
                              <w:pPr>
                                <w:overflowPunct w:val="false"/>
                                <w:spacing w:before="0" w:after="0" w:lineRule="auto" w:line="240"/>
                                <w:jc w:val="center"/>
                                <w:rPr/>
                              </w:pPr>
                              <w:r>
                                <w:rPr>
                                  <w:sz w:val="24"/>
                                  <w:smallCaps w:val="false"/>
                                  <w:caps w:val="false"/>
                                  <w:b w:val="false"/>
                                  <w:u w:val="none"/>
                                  <w:dstrike w:val="false"/>
                                  <w:strike w:val="false"/>
                                  <w:i w:val="false"/>
                                  <w:vertAlign w:val="baseline"/>
                                  <w:position w:val="0"/>
                                  <w:spacing w:val="0"/>
                                  <w:szCs w:val="24"/>
                                  <w:bCs w:val="false"/>
                                  <w:iCs w:val="false"/>
                                  <w:color w:val="00000A"/>
                                </w:rPr>
                                <w:t>Рис. 1 Двумерный спектр магнитных колебаний S (</w:t>
                              </w:r>
                              <w:r>
                                <w:rPr>
                                  <w:sz w:val="24"/>
                                  <w:smallCaps w:val="false"/>
                                  <w:caps w:val="false"/>
                                  <w:u w:val="none"/>
                                  <w:dstrike w:val="false"/>
                                  <w:strike w:val="false"/>
                                  <w:i w:val="false"/>
                                  <w:vertAlign w:val="baseline"/>
                                  <w:position w:val="0"/>
                                  <w:spacing w:val="0"/>
                                  <w:szCs w:val="24"/>
                                  <w:iCs w:val="false"/>
                                  <w:bCs/>
                                  <w:b/>
                                  <w:color w:val="00000A"/>
                                </w:rPr>
                                <w:t>k</w:t>
                              </w:r>
                              <w:r>
                                <w:rPr>
                                  <w:sz w:val="24"/>
                                  <w:smallCaps w:val="false"/>
                                  <w:caps w:val="false"/>
                                  <w:u w:val="none"/>
                                  <w:dstrike w:val="false"/>
                                  <w:strike w:val="false"/>
                                  <w:i w:val="false"/>
                                  <w:vertAlign w:val="baseline"/>
                                  <w:position w:val="0"/>
                                  <w:spacing w:val="0"/>
                                  <w:szCs w:val="24"/>
                                  <w:iCs w:val="false"/>
                                  <w:b w:val="false"/>
                                  <w:bCs w:val="false"/>
                                  <w:color w:val="00000A"/>
                                </w:rPr>
                                <w:t xml:space="preserve">, </w:t>
                              </w:r>
                              <w:r>
                                <w:rPr>
                                  <w:sz w:val="24"/>
                                  <w:smallCaps w:val="false"/>
                                  <w:caps w:val="false"/>
                                  <w:u w:val="none"/>
                                  <w:dstrike w:val="false"/>
                                  <w:strike w:val="false"/>
                                  <w:i w:val="false"/>
                                  <w:vertAlign w:val="baseline"/>
                                  <w:position w:val="0"/>
                                  <w:spacing w:val="0"/>
                                  <w:szCs w:val="24"/>
                                  <w:iCs w:val="false"/>
                                  <w:b/>
                                  <w:bCs/>
                                  <w:color w:val="00000A"/>
                                </w:rPr>
                                <w:t>f</w:t>
                              </w:r>
                              <w:r>
                                <w:rPr>
                                  <w:sz w:val="24"/>
                                  <w:smallCaps w:val="false"/>
                                  <w:caps w:val="false"/>
                                  <w:u w:val="none"/>
                                  <w:dstrike w:val="false"/>
                                  <w:strike w:val="false"/>
                                  <w:i w:val="false"/>
                                  <w:vertAlign w:val="baseline"/>
                                  <w:position w:val="0"/>
                                  <w:spacing w:val="0"/>
                                  <w:szCs w:val="24"/>
                                  <w:iCs w:val="false"/>
                                  <w:b w:val="false"/>
                                  <w:bCs w:val="false"/>
                                  <w:color w:val="00000A"/>
                                </w:rPr>
                                <w:t>) в гелиевом разряде</w:t>
                              </w:r>
                            </w:p>
                          </w:txbxContent>
                        </wps:txbx>
                        <wps:bodyPr lIns="0" rIns="0" tIns="0" bIns="0">
                          <a:noAutofit/>
                        </wps:bodyPr>
                      </wps:wsp>
                      <pic:pic xmlns:pic="http://schemas.openxmlformats.org/drawingml/2006/picture">
                        <pic:nvPicPr>
                          <pic:cNvPr id="0" name="Рисунок 2" descr=""/>
                          <pic:cNvPicPr/>
                        </pic:nvPicPr>
                        <pic:blipFill>
                          <a:blip r:embed="rId2"/>
                          <a:stretch/>
                        </pic:blipFill>
                        <pic:spPr>
                          <a:xfrm>
                            <a:off x="0" y="0"/>
                            <a:ext cx="3136320" cy="1686600"/>
                          </a:xfrm>
                          <a:prstGeom prst="rect">
                            <a:avLst/>
                          </a:prstGeom>
                          <a:ln>
                            <a:noFill/>
                          </a:ln>
                        </pic:spPr>
                      </pic:pic>
                    </wpg:wgp>
                  </a:graphicData>
                </a:graphic>
              </wp:anchor>
            </w:drawing>
          </mc:Choice>
          <mc:Fallback>
            <w:pict>
              <v:group id="shape_0" alt="Группа 4" style="position:absolute;margin-left:1.05pt;margin-top:387.75pt;width:246.95pt;height:171pt" coordorigin="21,7755" coordsize="4939,3420">
                <v:rect id="shape_0" ID="Надпись 3" fillcolor="white" stroked="f" style="position:absolute;left:21;top:10549;width:4829;height:625;mso-position-vertical-relative:page">
                  <v:textbox>
                    <w:txbxContent>
                      <w:p>
                        <w:pPr>
                          <w:overflowPunct w:val="false"/>
                          <w:spacing w:before="0" w:after="0" w:lineRule="auto" w:line="240"/>
                          <w:jc w:val="center"/>
                          <w:rPr/>
                        </w:pPr>
                        <w:r>
                          <w:rPr>
                            <w:sz w:val="24"/>
                            <w:smallCaps w:val="false"/>
                            <w:caps w:val="false"/>
                            <w:b w:val="false"/>
                            <w:u w:val="none"/>
                            <w:dstrike w:val="false"/>
                            <w:strike w:val="false"/>
                            <w:i w:val="false"/>
                            <w:vertAlign w:val="baseline"/>
                            <w:position w:val="0"/>
                            <w:spacing w:val="0"/>
                            <w:szCs w:val="24"/>
                            <w:bCs w:val="false"/>
                            <w:iCs w:val="false"/>
                            <w:color w:val="00000A"/>
                          </w:rPr>
                          <w:t>Рис. 1 Двумерный спектр магнитных колебаний S (</w:t>
                        </w:r>
                        <w:r>
                          <w:rPr>
                            <w:sz w:val="24"/>
                            <w:smallCaps w:val="false"/>
                            <w:caps w:val="false"/>
                            <w:u w:val="none"/>
                            <w:dstrike w:val="false"/>
                            <w:strike w:val="false"/>
                            <w:i w:val="false"/>
                            <w:vertAlign w:val="baseline"/>
                            <w:position w:val="0"/>
                            <w:spacing w:val="0"/>
                            <w:szCs w:val="24"/>
                            <w:iCs w:val="false"/>
                            <w:bCs/>
                            <w:b/>
                            <w:color w:val="00000A"/>
                          </w:rPr>
                          <w:t>k</w:t>
                        </w:r>
                        <w:r>
                          <w:rPr>
                            <w:sz w:val="24"/>
                            <w:smallCaps w:val="false"/>
                            <w:caps w:val="false"/>
                            <w:u w:val="none"/>
                            <w:dstrike w:val="false"/>
                            <w:strike w:val="false"/>
                            <w:i w:val="false"/>
                            <w:vertAlign w:val="baseline"/>
                            <w:position w:val="0"/>
                            <w:spacing w:val="0"/>
                            <w:szCs w:val="24"/>
                            <w:iCs w:val="false"/>
                            <w:b w:val="false"/>
                            <w:bCs w:val="false"/>
                            <w:color w:val="00000A"/>
                          </w:rPr>
                          <w:t xml:space="preserve">, </w:t>
                        </w:r>
                        <w:r>
                          <w:rPr>
                            <w:sz w:val="24"/>
                            <w:smallCaps w:val="false"/>
                            <w:caps w:val="false"/>
                            <w:u w:val="none"/>
                            <w:dstrike w:val="false"/>
                            <w:strike w:val="false"/>
                            <w:i w:val="false"/>
                            <w:vertAlign w:val="baseline"/>
                            <w:position w:val="0"/>
                            <w:spacing w:val="0"/>
                            <w:szCs w:val="24"/>
                            <w:iCs w:val="false"/>
                            <w:b/>
                            <w:bCs/>
                            <w:color w:val="00000A"/>
                          </w:rPr>
                          <w:t>f</w:t>
                        </w:r>
                        <w:r>
                          <w:rPr>
                            <w:sz w:val="24"/>
                            <w:smallCaps w:val="false"/>
                            <w:caps w:val="false"/>
                            <w:u w:val="none"/>
                            <w:dstrike w:val="false"/>
                            <w:strike w:val="false"/>
                            <w:i w:val="false"/>
                            <w:vertAlign w:val="baseline"/>
                            <w:position w:val="0"/>
                            <w:spacing w:val="0"/>
                            <w:szCs w:val="24"/>
                            <w:iCs w:val="false"/>
                            <w:b w:val="false"/>
                            <w:bCs w:val="false"/>
                            <w:color w:val="00000A"/>
                          </w:rPr>
                          <w:t>) в гелиевом разряде</w:t>
                        </w:r>
                      </w:p>
                    </w:txbxContent>
                  </v:textbox>
                  <w10:wrap type="square"/>
                  <v:fill o:detectmouseclick="t" type="solid" color2="black"/>
                  <v:stroke color="#3465a4" joinstyle="round"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2" stroked="f" style="position:absolute;left:21;top:7755;width:4938;height:2655;mso-position-vertical-relative:page" type="shapetype_75">
                  <v:imagedata r:id="rId2" o:detectmouseclick="t"/>
                  <w10:wrap type="none"/>
                  <v:stroke color="#3465a4" joinstyle="round" endcap="flat"/>
                </v:shape>
              </v:group>
            </w:pict>
          </mc:Fallback>
        </mc:AlternateContent>
      </w:r>
      <w:r>
        <w:rPr/>
        <w:t xml:space="preserve">В докладе представлены результаты дистанционных экспериментов, проведённых при помощи виртуальной пультовой на токамаке </w:t>
      </w:r>
      <w:r>
        <w:rPr>
          <w:lang w:val="en-US"/>
        </w:rPr>
        <w:t>GOLEM</w:t>
      </w:r>
      <w:r>
        <w:rPr/>
        <w:t xml:space="preserve"> в мае 2020 года студентами НИЯУ МИФИ и НИУ МФТИ при поддержке Факультета технической и ядерной физики Чешского технического университета. Показано, что при одинаковых начальных параметрах разряда (давление газа, ток плазмы и магнитное поле), эволюция плазмы в водороде и в гелии сильно различается. Были исследованы основные закономерности плазменного разряда (связь электронной температуры и тока плазмы; длительности разряда и тока плазмы и т.д.), а также характеристики плазменной турбулентности. Показано наличие дальних корреляций между низкочастотными (&lt; 50 кГц) электростатическими и магнитными колебаниями, а также существование широкополосных (&lt; 250 кГц) магнитных колебаний, разрешимых по частоте </w:t>
      </w:r>
      <w:r>
        <w:rPr>
          <w:b/>
          <w:bCs/>
          <w:i/>
          <w:lang w:val="en-US"/>
        </w:rPr>
        <w:t>f</w:t>
      </w:r>
      <w:r>
        <w:rPr>
          <w:b/>
          <w:bCs/>
        </w:rPr>
        <w:t xml:space="preserve"> </w:t>
      </w:r>
      <w:r>
        <w:rPr/>
        <w:t xml:space="preserve">и волновому вектору </w:t>
      </w:r>
      <w:r>
        <w:rPr>
          <w:b/>
          <w:bCs/>
          <w:i/>
          <w:lang w:val="en-US"/>
        </w:rPr>
        <w:t>k</w:t>
      </w:r>
      <w:r>
        <w:rPr>
          <w:b/>
          <w:bCs/>
        </w:rPr>
        <w:t xml:space="preserve"> </w:t>
      </w:r>
      <w:r>
        <w:rPr/>
        <w:t xml:space="preserve">(рис. 1) в гелиевой плазме. </w:t>
      </w:r>
    </w:p>
    <w:p>
      <w:pPr>
        <w:pStyle w:val="Zvbodyreport"/>
        <w:ind w:hanging="0"/>
        <w:rPr/>
      </w:pPr>
      <w:r>
        <w:rPr/>
      </w:r>
    </w:p>
    <w:p>
      <w:pPr>
        <w:pStyle w:val="Zvbodyreport"/>
        <w:ind w:hanging="0"/>
        <w:rPr/>
      </w:pPr>
      <w:r>
        <w:rPr/>
        <w:t xml:space="preserve">Работа выполнена при поддержке РНФ, проект 19-12-00312. </w:t>
      </w:r>
    </w:p>
    <w:p>
      <w:pPr>
        <w:pStyle w:val="ZvTitleReferencesru"/>
        <w:rPr/>
      </w:pPr>
      <w:r>
        <w:rPr/>
        <w:t>Литература</w:t>
      </w:r>
    </w:p>
    <w:p>
      <w:pPr>
        <w:pStyle w:val="ZvReferencesru"/>
        <w:numPr>
          <w:ilvl w:val="0"/>
          <w:numId w:val="1"/>
        </w:numPr>
        <w:rPr>
          <w:lang w:val="en-US"/>
        </w:rPr>
      </w:pPr>
      <w:bookmarkStart w:id="2" w:name="_Hlk56888067"/>
      <w:r>
        <w:rPr>
          <w:lang w:val="en-US"/>
        </w:rPr>
        <w:t xml:space="preserve">M.P. Gryaznevich et al, Contribution of Joint Experiments on Small Tokamaks in the framework of IAEA Coordinated Research Projects to mainstream Fusion Research // Plasma Sci. Technol., 2020, </w:t>
      </w:r>
      <w:r>
        <w:rPr>
          <w:b/>
          <w:lang w:val="en-US"/>
        </w:rPr>
        <w:t>22</w:t>
      </w:r>
      <w:r>
        <w:rPr>
          <w:lang w:val="en-US"/>
        </w:rPr>
        <w:t xml:space="preserve"> 055102</w:t>
      </w:r>
    </w:p>
    <w:p>
      <w:pPr>
        <w:pStyle w:val="ZvReferencesru"/>
        <w:numPr>
          <w:ilvl w:val="0"/>
          <w:numId w:val="1"/>
        </w:numPr>
        <w:rPr/>
      </w:pPr>
      <w:r>
        <w:rPr/>
        <w:t>В.А. Курнаев и др. Статус разработки токамака МИФИСТ //</w:t>
      </w:r>
      <w:r>
        <w:rPr>
          <w:lang w:val="en-US"/>
        </w:rPr>
        <w:t> </w:t>
      </w:r>
      <w:r>
        <w:rPr/>
        <w:t>Вестник Национального Исследовательского Ядерного Университета МИФИ, 2019, №6, стр. 491-497</w:t>
      </w:r>
    </w:p>
    <w:p>
      <w:pPr>
        <w:pStyle w:val="ZvReferencesru"/>
        <w:numPr>
          <w:ilvl w:val="0"/>
          <w:numId w:val="1"/>
        </w:numPr>
        <w:rPr/>
      </w:pPr>
      <w:r>
        <w:rPr/>
        <w:t xml:space="preserve">Н.Н. Бахарев и др. Результаты первых экспериментов на токамаке Глобус-М2 // Физика плазмы, 2020, </w:t>
      </w:r>
      <w:r>
        <w:rPr>
          <w:b/>
        </w:rPr>
        <w:t>7</w:t>
      </w:r>
      <w:r>
        <w:rPr/>
        <w:t>, стр. 579-587</w:t>
      </w:r>
    </w:p>
    <w:p>
      <w:pPr>
        <w:pStyle w:val="ZvReferencesru"/>
        <w:numPr>
          <w:ilvl w:val="0"/>
          <w:numId w:val="1"/>
        </w:numPr>
        <w:rPr>
          <w:lang w:val="en-US"/>
        </w:rPr>
      </w:pPr>
      <w:r>
        <w:rPr>
          <w:lang w:val="en-US"/>
        </w:rPr>
        <w:t xml:space="preserve">O. Grover et al. Remote operation of the GOLEM tokamak for Fusion Education // Fusion Eng. Des., 2016, </w:t>
      </w:r>
      <w:r>
        <w:rPr>
          <w:b/>
          <w:lang w:val="en-US"/>
        </w:rPr>
        <w:t>112</w:t>
      </w:r>
      <w:r>
        <w:rPr>
          <w:lang w:val="en-US"/>
        </w:rPr>
        <w:t>, 1038–1044</w:t>
      </w:r>
      <w:bookmarkEnd w:id="2"/>
      <w:r>
        <w:br w:type="page"/>
      </w:r>
    </w:p>
    <w:p>
      <w:pPr>
        <w:pStyle w:val="TextBody"/>
        <w:rPr>
          <w:b/>
          <w:b/>
          <w:bCs/>
        </w:rPr>
      </w:pPr>
      <w:r>
        <w:rPr>
          <w:b/>
          <w:bCs/>
        </w:rPr>
        <w:t>Список авторов</w:t>
      </w:r>
    </w:p>
    <w:p>
      <w:pPr>
        <w:pStyle w:val="11"/>
        <w:numPr>
          <w:ilvl w:val="0"/>
          <w:numId w:val="2"/>
        </w:numPr>
        <w:tabs>
          <w:tab w:val="left" w:pos="426" w:leader="none"/>
        </w:tabs>
        <w:ind w:left="0" w:hanging="0"/>
        <w:rPr>
          <w:lang w:val="ru-RU"/>
        </w:rPr>
      </w:pPr>
      <w:r>
        <w:rPr>
          <w:u w:val="single"/>
          <w:lang w:val="ru-RU"/>
        </w:rPr>
        <w:t>Георгий Александрович Саранча</w:t>
      </w:r>
      <w:r>
        <w:rPr>
          <w:lang w:val="ru-RU"/>
        </w:rPr>
        <w:t>, РФ, Москва, Н</w:t>
      </w:r>
      <w:bookmarkStart w:id="3" w:name="__DdeLink__567_2646605934"/>
      <w:r>
        <w:rPr>
          <w:lang w:val="ru-RU"/>
        </w:rPr>
        <w:t>И</w:t>
      </w:r>
      <w:bookmarkEnd w:id="3"/>
      <w:r>
        <w:rPr>
          <w:lang w:val="ru-RU"/>
        </w:rPr>
        <w:t xml:space="preserve">Ц КИ, </w:t>
      </w:r>
      <w:r>
        <w:rPr/>
        <w:t>sarancha</w:t>
      </w:r>
      <w:r>
        <w:rPr>
          <w:lang w:val="ru-RU"/>
        </w:rPr>
        <w:t>.</w:t>
      </w:r>
      <w:r>
        <w:rPr/>
        <w:t>ga</w:t>
      </w:r>
      <w:r>
        <w:rPr>
          <w:lang w:val="ru-RU"/>
        </w:rPr>
        <w:t>@</w:t>
      </w:r>
      <w:r>
        <w:rPr/>
        <w:t>phystech</w:t>
      </w:r>
      <w:r>
        <w:rPr>
          <w:lang w:val="ru-RU"/>
        </w:rPr>
        <w:t>.</w:t>
      </w:r>
      <w:r>
        <w:rPr/>
        <w:t>edu</w:t>
      </w:r>
    </w:p>
    <w:p>
      <w:pPr>
        <w:pStyle w:val="11"/>
        <w:numPr>
          <w:ilvl w:val="0"/>
          <w:numId w:val="2"/>
        </w:numPr>
        <w:tabs>
          <w:tab w:val="left" w:pos="426" w:leader="none"/>
        </w:tabs>
        <w:rPr>
          <w:lang w:val="ru-RU"/>
        </w:rPr>
      </w:pPr>
      <w:r>
        <w:rPr>
          <w:lang w:val="ru-RU"/>
        </w:rPr>
        <w:t xml:space="preserve">Войтех Свобода, Чешская Республика, Прага, </w:t>
      </w:r>
      <w:r>
        <w:rPr>
          <w:lang w:val="ru-RU" w:eastAsia="ja-JP"/>
        </w:rPr>
        <w:t>ФЯФИ ЧТУ,</w:t>
      </w:r>
      <w:r>
        <w:rPr>
          <w:lang w:val="ru-RU"/>
        </w:rPr>
        <w:t xml:space="preserve"> </w:t>
      </w:r>
      <w:r>
        <w:rPr/>
        <w:t>v</w:t>
      </w:r>
      <w:r>
        <w:rPr>
          <w:lang w:val="ru-RU"/>
        </w:rPr>
        <w:t>ojtech.</w:t>
      </w:r>
      <w:r>
        <w:rPr/>
        <w:t>s</w:t>
      </w:r>
      <w:r>
        <w:rPr>
          <w:lang w:val="ru-RU"/>
        </w:rPr>
        <w:t>voboda@fjfi.cvut.cz</w:t>
      </w:r>
    </w:p>
    <w:p>
      <w:pPr>
        <w:pStyle w:val="11"/>
        <w:numPr>
          <w:ilvl w:val="0"/>
          <w:numId w:val="2"/>
        </w:numPr>
        <w:tabs>
          <w:tab w:val="left" w:pos="426" w:leader="none"/>
        </w:tabs>
        <w:ind w:left="0" w:hanging="0"/>
        <w:rPr>
          <w:lang w:val="ru-RU"/>
        </w:rPr>
      </w:pPr>
      <w:r>
        <w:rPr>
          <w:lang w:val="ru-RU"/>
        </w:rPr>
        <w:t>Ян Штокель, Чешская Республика, Прага, ИФП ЧАН, stockel@ipp.cas.cz</w:t>
      </w:r>
    </w:p>
    <w:p>
      <w:pPr>
        <w:sectPr>
          <w:headerReference w:type="default" r:id="rId3"/>
          <w:footerReference w:type="default" r:id="rId4"/>
          <w:type w:val="nextPage"/>
          <w:pgSz w:w="11906" w:h="16838"/>
          <w:pgMar w:left="1134" w:right="1134" w:header="624" w:top="1418" w:footer="624" w:bottom="1418" w:gutter="0"/>
          <w:pgNumType w:fmt="decimal"/>
          <w:formProt w:val="false"/>
          <w:textDirection w:val="lrTb"/>
          <w:docGrid w:type="default" w:linePitch="360" w:charSpace="0"/>
        </w:sectPr>
        <w:pStyle w:val="11"/>
        <w:numPr>
          <w:ilvl w:val="0"/>
          <w:numId w:val="2"/>
        </w:numPr>
        <w:tabs>
          <w:tab w:val="left" w:pos="426" w:leader="none"/>
        </w:tabs>
        <w:ind w:left="0" w:hanging="0"/>
        <w:rPr>
          <w:lang w:val="ru-RU"/>
        </w:rPr>
      </w:pPr>
      <w:r>
        <w:rPr>
          <w:lang w:val="ru-RU"/>
        </w:rPr>
        <w:t>Александр Владимирович Мельников, РФ, Москва, НИЦ КИ, melnikov_07@yahoo.com</w:t>
      </w:r>
    </w:p>
    <w:p>
      <w:pPr>
        <w:pStyle w:val="ZvTitlereport"/>
        <w:rPr>
          <w:lang w:val="en-US"/>
        </w:rPr>
      </w:pPr>
      <w:r>
        <w:rPr>
          <w:lang w:val="en-US"/>
        </w:rPr>
        <w:t>COMPARISON OF HYDROGEN AND HELIUM DISCHARGE PARAMETERS IN GOLEM small TOKAMAK</w:t>
      </w:r>
    </w:p>
    <w:p>
      <w:pPr>
        <w:pStyle w:val="ZvAuthor"/>
        <w:rPr>
          <w:lang w:val="de-DE"/>
        </w:rPr>
      </w:pPr>
      <w:r>
        <w:rPr>
          <w:u w:val="single"/>
          <w:vertAlign w:val="superscript"/>
          <w:lang w:val="en-US"/>
        </w:rPr>
        <w:t>1</w:t>
      </w:r>
      <w:r>
        <w:rPr>
          <w:u w:val="single"/>
          <w:lang w:val="en-US"/>
        </w:rPr>
        <w:t>G.A. Sarancha,</w:t>
      </w:r>
      <w:r>
        <w:rPr>
          <w:lang w:val="en-US"/>
        </w:rPr>
        <w:t xml:space="preserve"> *</w:t>
      </w:r>
      <w:r>
        <w:rPr>
          <w:vertAlign w:val="superscript"/>
          <w:lang w:val="en-US"/>
        </w:rPr>
        <w:t>2</w:t>
      </w:r>
      <w:r>
        <w:rPr>
          <w:lang w:val="en-US"/>
        </w:rPr>
        <w:t xml:space="preserve">V. </w:t>
      </w:r>
      <w:r>
        <w:rPr>
          <w:lang w:val="de-DE"/>
        </w:rPr>
        <w:t>Svoboda, *</w:t>
      </w:r>
      <w:r>
        <w:rPr>
          <w:b/>
          <w:color w:val="FF0000"/>
          <w:vertAlign w:val="superscript"/>
          <w:lang w:val="de-DE"/>
        </w:rPr>
        <w:t>2,4</w:t>
      </w:r>
      <w:r>
        <w:rPr>
          <w:lang w:val="de-DE"/>
        </w:rPr>
        <w:t xml:space="preserve">J. Stöckel, </w:t>
      </w:r>
      <w:r>
        <w:rPr>
          <w:vertAlign w:val="superscript"/>
          <w:lang w:val="de-DE"/>
        </w:rPr>
        <w:t>1,4</w:t>
      </w:r>
      <w:r>
        <w:rPr>
          <w:lang w:val="de-DE"/>
        </w:rPr>
        <w:t>A.V. Melnikov,</w:t>
      </w:r>
    </w:p>
    <w:p>
      <w:pPr>
        <w:pStyle w:val="ZvOrganization"/>
        <w:rPr/>
      </w:pPr>
      <w:r>
        <w:rPr>
          <w:lang w:val="en-US"/>
        </w:rPr>
        <w:t xml:space="preserve">NRC “Kurchatov Institute”, Moscow, Russia, e-mail: nrcki@nrcki.ru </w:t>
        <w:br/>
      </w:r>
      <w:r>
        <w:rPr>
          <w:vertAlign w:val="superscript"/>
          <w:lang w:val="en-US"/>
        </w:rPr>
        <w:t>1</w:t>
      </w:r>
      <w:r>
        <w:rPr>
          <w:lang w:val="en-US"/>
        </w:rPr>
        <w:t>NRU “Moscow Institute of Physics and Technology”, Moscow, Russia, e-mail: info@mipt.ru</w:t>
      </w:r>
      <w:r>
        <w:rPr>
          <w:rStyle w:val="InternetLink"/>
          <w:lang w:val="en-US"/>
        </w:rPr>
        <w:br/>
      </w:r>
      <w:r>
        <w:rPr>
          <w:vertAlign w:val="superscript"/>
          <w:lang w:val="en-US"/>
        </w:rPr>
        <w:t>2</w:t>
      </w:r>
      <w:r>
        <w:rPr>
          <w:lang w:val="en-US"/>
        </w:rPr>
        <w:t>Czech Technical University, Prague, Czech Republic, e-mail: cvut@cvut.cz</w:t>
        <w:br/>
      </w:r>
      <w:r>
        <w:rPr>
          <w:strike/>
          <w:vertAlign w:val="superscript"/>
          <w:lang w:val="en-US"/>
        </w:rPr>
        <w:t>3</w:t>
      </w:r>
      <w:r>
        <w:rPr>
          <w:strike/>
          <w:lang w:val="en-US"/>
        </w:rPr>
        <w:t>Institute of Plasma Physics, Prague, Czech Republic, e-mail: ipp@ipp.cas.cz</w:t>
      </w:r>
      <w:r>
        <w:rPr>
          <w:vertAlign w:val="superscript"/>
        </w:rPr>
        <w:br/>
      </w:r>
      <w:r>
        <w:rPr>
          <w:vertAlign w:val="superscript"/>
          <w:lang w:val="en-US"/>
        </w:rPr>
        <w:t>4</w:t>
      </w:r>
      <w:r>
        <w:rPr>
          <w:lang w:val="en-US"/>
        </w:rPr>
        <w:t xml:space="preserve">National Research Nuclear University “MEPhI”, Moscow, Russia, e-mail: </w:t>
      </w:r>
      <w:hyperlink r:id="rId5">
        <w:r>
          <w:rPr>
            <w:rStyle w:val="InternetLink"/>
            <w:color w:val="auto"/>
            <w:u w:val="none"/>
            <w:lang w:val="en-US"/>
          </w:rPr>
          <w:t>info@mephi.ru</w:t>
        </w:r>
      </w:hyperlink>
      <w:r>
        <w:rPr>
          <w:lang w:val="en-US"/>
        </w:rPr>
        <w:t xml:space="preserve"> </w:t>
      </w:r>
    </w:p>
    <w:p>
      <w:pPr>
        <w:pStyle w:val="Zvbodyreport"/>
        <w:rPr>
          <w:lang w:val="en-US"/>
        </w:rPr>
      </w:pPr>
      <w:r>
        <w:rPr>
          <w:lang w:val="en-US"/>
        </w:rPr>
        <w:t>For studying plasma with parameters approaching the future fusion reactor, the bigger devices for plasma magnetic confinement are under construction. It requires large financial and labor resources, and most importantly - time. It could happen when at the device starting there would not be any person designed it. Therefore, it is necessary to conduct new staff continual training. Small tokamaks [1], for example MEPhIST [2], Globus-M2 [3] or GOLEM [4], are best suited for this purpose.</w:t>
      </w:r>
      <w:bookmarkStart w:id="4" w:name="_GoBack"/>
      <w:bookmarkEnd w:id="4"/>
    </w:p>
    <w:p>
      <w:pPr>
        <w:pStyle w:val="Zvbodyreport"/>
        <w:rPr>
          <w:lang w:val="en-US"/>
        </w:rPr>
      </w:pPr>
      <w:r>
        <mc:AlternateContent>
          <mc:Choice Requires="wpg">
            <w:drawing>
              <wp:anchor behindDoc="0" distT="0" distB="0" distL="114300" distR="114300" simplePos="0" locked="0" layoutInCell="1" allowOverlap="1" relativeHeight="5" wp14:anchorId="7F802F07">
                <wp:simplePos x="0" y="0"/>
                <wp:positionH relativeFrom="column">
                  <wp:posOffset>3810</wp:posOffset>
                </wp:positionH>
                <wp:positionV relativeFrom="page">
                  <wp:posOffset>3762375</wp:posOffset>
                </wp:positionV>
                <wp:extent cx="3353435" cy="2372360"/>
                <wp:effectExtent l="0" t="0" r="0" b="9525"/>
                <wp:wrapSquare wrapText="bothSides"/>
                <wp:docPr id="4" name="Группа 5"/>
                <a:graphic xmlns:a="http://schemas.openxmlformats.org/drawingml/2006/main">
                  <a:graphicData uri="http://schemas.microsoft.com/office/word/2010/wordprocessingGroup">
                    <wpg:wgp>
                      <wpg:cNvGrpSpPr/>
                      <wpg:grpSpPr>
                        <a:xfrm>
                          <a:off x="0" y="0"/>
                          <a:ext cx="3352680" cy="2371680"/>
                        </a:xfrm>
                      </wpg:grpSpPr>
                      <wps:wsp>
                        <wps:cNvSpPr/>
                        <wps:spPr>
                          <a:xfrm>
                            <a:off x="0" y="1956600"/>
                            <a:ext cx="3276720" cy="415440"/>
                          </a:xfrm>
                          <a:prstGeom prst="rect">
                            <a:avLst/>
                          </a:prstGeom>
                          <a:solidFill>
                            <a:srgbClr val="ffffff"/>
                          </a:solidFill>
                          <a:ln>
                            <a:noFill/>
                          </a:ln>
                        </wps:spPr>
                        <wps:style>
                          <a:lnRef idx="0"/>
                          <a:fillRef idx="0"/>
                          <a:effectRef idx="0"/>
                          <a:fontRef idx="minor"/>
                        </wps:style>
                        <wps:txbx>
                          <w:txbxContent>
                            <w:p>
                              <w:pPr>
                                <w:overflowPunct w:val="false"/>
                                <w:spacing w:before="0" w:after="0" w:lineRule="auto" w:line="240"/>
                                <w:jc w:val="center"/>
                                <w:rPr/>
                              </w:pPr>
                              <w:r>
                                <w:rPr>
                                  <w:sz w:val="24"/>
                                  <w:smallCaps w:val="false"/>
                                  <w:caps w:val="false"/>
                                  <w:b w:val="false"/>
                                  <w:u w:val="none"/>
                                  <w:dstrike w:val="false"/>
                                  <w:strike w:val="false"/>
                                  <w:i w:val="false"/>
                                  <w:vertAlign w:val="baseline"/>
                                  <w:position w:val="0"/>
                                  <w:spacing w:val="0"/>
                                  <w:szCs w:val="24"/>
                                  <w:bCs w:val="false"/>
                                  <w:iCs w:val="false"/>
                                  <w:color w:val="00000A"/>
                                </w:rPr>
                                <w:t>Fig. 1 Two-dimensional spectrum S (</w:t>
                              </w:r>
                              <w:r>
                                <w:rPr>
                                  <w:sz w:val="24"/>
                                  <w:smallCaps w:val="false"/>
                                  <w:caps w:val="false"/>
                                  <w:u w:val="none"/>
                                  <w:dstrike w:val="false"/>
                                  <w:strike w:val="false"/>
                                  <w:i w:val="false"/>
                                  <w:vertAlign w:val="baseline"/>
                                  <w:position w:val="0"/>
                                  <w:spacing w:val="0"/>
                                  <w:szCs w:val="24"/>
                                  <w:iCs w:val="false"/>
                                  <w:bCs/>
                                  <w:b/>
                                  <w:color w:val="00000A"/>
                                </w:rPr>
                                <w:t>k</w:t>
                              </w:r>
                              <w:r>
                                <w:rPr>
                                  <w:sz w:val="24"/>
                                  <w:smallCaps w:val="false"/>
                                  <w:caps w:val="false"/>
                                  <w:u w:val="none"/>
                                  <w:dstrike w:val="false"/>
                                  <w:strike w:val="false"/>
                                  <w:i w:val="false"/>
                                  <w:vertAlign w:val="baseline"/>
                                  <w:position w:val="0"/>
                                  <w:spacing w:val="0"/>
                                  <w:szCs w:val="24"/>
                                  <w:iCs w:val="false"/>
                                  <w:b w:val="false"/>
                                  <w:bCs w:val="false"/>
                                  <w:color w:val="00000A"/>
                                </w:rPr>
                                <w:t xml:space="preserve">, </w:t>
                              </w:r>
                              <w:r>
                                <w:rPr>
                                  <w:sz w:val="24"/>
                                  <w:smallCaps w:val="false"/>
                                  <w:caps w:val="false"/>
                                  <w:u w:val="none"/>
                                  <w:dstrike w:val="false"/>
                                  <w:strike w:val="false"/>
                                  <w:i w:val="false"/>
                                  <w:vertAlign w:val="baseline"/>
                                  <w:position w:val="0"/>
                                  <w:spacing w:val="0"/>
                                  <w:szCs w:val="24"/>
                                  <w:iCs w:val="false"/>
                                  <w:b/>
                                  <w:bCs/>
                                  <w:color w:val="00000A"/>
                                </w:rPr>
                                <w:t>f</w:t>
                              </w:r>
                              <w:r>
                                <w:rPr>
                                  <w:sz w:val="24"/>
                                  <w:smallCaps w:val="false"/>
                                  <w:caps w:val="false"/>
                                  <w:u w:val="none"/>
                                  <w:dstrike w:val="false"/>
                                  <w:strike w:val="false"/>
                                  <w:i w:val="false"/>
                                  <w:vertAlign w:val="baseline"/>
                                  <w:position w:val="0"/>
                                  <w:spacing w:val="0"/>
                                  <w:szCs w:val="24"/>
                                  <w:iCs w:val="false"/>
                                  <w:b w:val="false"/>
                                  <w:bCs w:val="false"/>
                                  <w:color w:val="00000A"/>
                                </w:rPr>
                                <w:t>) of magnetic oscillations in a helium discharge</w:t>
                              </w:r>
                            </w:p>
                          </w:txbxContent>
                        </wps:txbx>
                        <wps:bodyPr lIns="0" rIns="0" tIns="0" bIns="0">
                          <a:noAutofit/>
                        </wps:bodyPr>
                      </wps:wsp>
                      <pic:pic xmlns:pic="http://schemas.openxmlformats.org/drawingml/2006/picture">
                        <pic:nvPicPr>
                          <pic:cNvPr id="1" name="Рисунок 7" descr=""/>
                          <pic:cNvPicPr/>
                        </pic:nvPicPr>
                        <pic:blipFill>
                          <a:blip r:embed="rId2"/>
                          <a:stretch/>
                        </pic:blipFill>
                        <pic:spPr>
                          <a:xfrm>
                            <a:off x="0" y="0"/>
                            <a:ext cx="3352680" cy="1861920"/>
                          </a:xfrm>
                          <a:prstGeom prst="rect">
                            <a:avLst/>
                          </a:prstGeom>
                          <a:ln>
                            <a:noFill/>
                          </a:ln>
                        </pic:spPr>
                      </pic:pic>
                    </wpg:wgp>
                  </a:graphicData>
                </a:graphic>
              </wp:anchor>
            </w:drawing>
          </mc:Choice>
          <mc:Fallback>
            <w:pict>
              <v:group id="shape_0" alt="Группа 5" style="position:absolute;margin-left:0.3pt;margin-top:296.25pt;width:264pt;height:186.8pt" coordorigin="6,5925" coordsize="5280,3736">
                <v:rect id="shape_0" ID="Надпись 6" fillcolor="white" stroked="f" style="position:absolute;left:6;top:9006;width:5159;height:653;mso-position-vertical-relative:page">
                  <v:textbox>
                    <w:txbxContent>
                      <w:p>
                        <w:pPr>
                          <w:overflowPunct w:val="false"/>
                          <w:spacing w:before="0" w:after="0" w:lineRule="auto" w:line="240"/>
                          <w:jc w:val="center"/>
                          <w:rPr/>
                        </w:pPr>
                        <w:r>
                          <w:rPr>
                            <w:sz w:val="24"/>
                            <w:smallCaps w:val="false"/>
                            <w:caps w:val="false"/>
                            <w:b w:val="false"/>
                            <w:u w:val="none"/>
                            <w:dstrike w:val="false"/>
                            <w:strike w:val="false"/>
                            <w:i w:val="false"/>
                            <w:vertAlign w:val="baseline"/>
                            <w:position w:val="0"/>
                            <w:spacing w:val="0"/>
                            <w:szCs w:val="24"/>
                            <w:bCs w:val="false"/>
                            <w:iCs w:val="false"/>
                            <w:color w:val="00000A"/>
                          </w:rPr>
                          <w:t>Fig. 1 Two-dimensional spectrum S (</w:t>
                        </w:r>
                        <w:r>
                          <w:rPr>
                            <w:sz w:val="24"/>
                            <w:smallCaps w:val="false"/>
                            <w:caps w:val="false"/>
                            <w:u w:val="none"/>
                            <w:dstrike w:val="false"/>
                            <w:strike w:val="false"/>
                            <w:i w:val="false"/>
                            <w:vertAlign w:val="baseline"/>
                            <w:position w:val="0"/>
                            <w:spacing w:val="0"/>
                            <w:szCs w:val="24"/>
                            <w:iCs w:val="false"/>
                            <w:bCs/>
                            <w:b/>
                            <w:color w:val="00000A"/>
                          </w:rPr>
                          <w:t>k</w:t>
                        </w:r>
                        <w:r>
                          <w:rPr>
                            <w:sz w:val="24"/>
                            <w:smallCaps w:val="false"/>
                            <w:caps w:val="false"/>
                            <w:u w:val="none"/>
                            <w:dstrike w:val="false"/>
                            <w:strike w:val="false"/>
                            <w:i w:val="false"/>
                            <w:vertAlign w:val="baseline"/>
                            <w:position w:val="0"/>
                            <w:spacing w:val="0"/>
                            <w:szCs w:val="24"/>
                            <w:iCs w:val="false"/>
                            <w:b w:val="false"/>
                            <w:bCs w:val="false"/>
                            <w:color w:val="00000A"/>
                          </w:rPr>
                          <w:t xml:space="preserve">, </w:t>
                        </w:r>
                        <w:r>
                          <w:rPr>
                            <w:sz w:val="24"/>
                            <w:smallCaps w:val="false"/>
                            <w:caps w:val="false"/>
                            <w:u w:val="none"/>
                            <w:dstrike w:val="false"/>
                            <w:strike w:val="false"/>
                            <w:i w:val="false"/>
                            <w:vertAlign w:val="baseline"/>
                            <w:position w:val="0"/>
                            <w:spacing w:val="0"/>
                            <w:szCs w:val="24"/>
                            <w:iCs w:val="false"/>
                            <w:b/>
                            <w:bCs/>
                            <w:color w:val="00000A"/>
                          </w:rPr>
                          <w:t>f</w:t>
                        </w:r>
                        <w:r>
                          <w:rPr>
                            <w:sz w:val="24"/>
                            <w:smallCaps w:val="false"/>
                            <w:caps w:val="false"/>
                            <w:u w:val="none"/>
                            <w:dstrike w:val="false"/>
                            <w:strike w:val="false"/>
                            <w:i w:val="false"/>
                            <w:vertAlign w:val="baseline"/>
                            <w:position w:val="0"/>
                            <w:spacing w:val="0"/>
                            <w:szCs w:val="24"/>
                            <w:iCs w:val="false"/>
                            <w:b w:val="false"/>
                            <w:bCs w:val="false"/>
                            <w:color w:val="00000A"/>
                          </w:rPr>
                          <w:t>) of magnetic oscillations in a helium discharge</w:t>
                        </w:r>
                      </w:p>
                    </w:txbxContent>
                  </v:textbox>
                  <w10:wrap type="square"/>
                  <v:fill o:detectmouseclick="t" type="solid" color2="black"/>
                  <v:stroke color="#3465a4" joinstyle="round" endcap="flat"/>
                </v:rect>
                <v:shape id="shape_0" ID="Рисунок 7" stroked="f" style="position:absolute;left:6;top:5925;width:5279;height:2931;mso-position-vertical-relative:page" type="shapetype_75">
                  <v:imagedata r:id="rId2" o:detectmouseclick="t"/>
                  <w10:wrap type="none"/>
                  <v:stroke color="#3465a4" joinstyle="round" endcap="flat"/>
                </v:shape>
              </v:group>
            </w:pict>
          </mc:Fallback>
        </mc:AlternateContent>
      </w:r>
      <w:r>
        <w:rPr>
          <w:lang w:val="en-US"/>
        </w:rPr>
        <w:t xml:space="preserve"> </w:t>
      </w:r>
      <w:r>
        <w:rPr>
          <w:lang w:val="en-US"/>
        </w:rPr>
        <w:t xml:space="preserve">The report presents the results of remote experiments (using a virtual control room) conducted in May 2020 by students of NRNU MEPhI and NRU MIPT with the support of the Faculty of Technical and Nuclear Physics of the Czech Technical University at the GOLEM tokamak. Experiments have shown that the evolution of plasma in hydrogen and helium is very different, despite the same discharge parameters (gas pressure, plasma current, and magnetic field). The main parameters of the plasma discharge were studied (the relationship between the electron temperature and the plasma current; the duration of the discharge and the plasma current, etc.). The presence of long-range correlations between low-frequency (&lt; 50 kHz) electrostatic and magnetic oscillations is shown, as well as the existence of broadband (&lt; 250 kHz) magnetic oscillations resolvable in frequency </w:t>
      </w:r>
      <w:r>
        <w:rPr>
          <w:b/>
          <w:bCs/>
          <w:i/>
          <w:iCs/>
          <w:lang w:val="en-US"/>
        </w:rPr>
        <w:t>f</w:t>
      </w:r>
      <w:r>
        <w:rPr>
          <w:lang w:val="en-US"/>
        </w:rPr>
        <w:t xml:space="preserve"> and wave vector </w:t>
      </w:r>
      <w:r>
        <w:rPr>
          <w:b/>
          <w:bCs/>
          <w:i/>
          <w:iCs/>
          <w:lang w:val="en-US"/>
        </w:rPr>
        <w:t>k</w:t>
      </w:r>
      <w:r>
        <w:rPr>
          <w:lang w:val="en-US"/>
        </w:rPr>
        <w:t xml:space="preserve"> (fig. 1) in helium plasma.</w:t>
      </w:r>
    </w:p>
    <w:p>
      <w:pPr>
        <w:pStyle w:val="ZvTitleReferencesen"/>
        <w:rPr>
          <w:b w:val="false"/>
          <w:b w:val="false"/>
          <w:bCs w:val="false"/>
          <w:szCs w:val="24"/>
          <w:lang w:val="en-US" w:eastAsia="ru-RU"/>
        </w:rPr>
      </w:pPr>
      <w:r>
        <w:rPr>
          <w:b w:val="false"/>
          <w:bCs w:val="false"/>
          <w:szCs w:val="24"/>
          <w:lang w:val="en-US" w:eastAsia="ru-RU"/>
        </w:rPr>
        <w:t>This work was supported by the Russian Science Foundation, project 19-12-00312.</w:t>
      </w:r>
    </w:p>
    <w:p>
      <w:pPr>
        <w:pStyle w:val="ZvTitleReferencesen"/>
        <w:rPr>
          <w:lang w:val="en-US"/>
        </w:rPr>
      </w:pPr>
      <w:r>
        <w:rPr>
          <w:lang w:val="en-US"/>
        </w:rPr>
        <w:t>References</w:t>
      </w:r>
    </w:p>
    <w:p>
      <w:pPr>
        <w:pStyle w:val="ZvReferencesen"/>
        <w:numPr>
          <w:ilvl w:val="0"/>
          <w:numId w:val="3"/>
        </w:numPr>
        <w:ind w:left="567" w:hanging="567"/>
        <w:rPr/>
      </w:pPr>
      <w:r>
        <w:rPr/>
        <w:t xml:space="preserve">M.P. Gryaznevich et al, Contribution of Joint Experiments on Small Tokamaks in the framework of IAEA Coordinated Research Projects to mainstream Fusion Research // Plasma Sci. Technol., 2020, </w:t>
      </w:r>
      <w:r>
        <w:rPr>
          <w:b/>
        </w:rPr>
        <w:t>22</w:t>
      </w:r>
      <w:r>
        <w:rPr/>
        <w:t xml:space="preserve"> 055102</w:t>
      </w:r>
    </w:p>
    <w:p>
      <w:pPr>
        <w:pStyle w:val="ZvReferencesen"/>
        <w:numPr>
          <w:ilvl w:val="0"/>
          <w:numId w:val="3"/>
        </w:numPr>
        <w:ind w:left="567" w:hanging="567"/>
        <w:rPr/>
      </w:pPr>
      <w:r>
        <w:rPr>
          <w:lang w:val="de-DE"/>
        </w:rPr>
        <w:t xml:space="preserve">V.A. Kurnaev et al. </w:t>
      </w:r>
      <w:r>
        <w:rPr/>
        <w:t>Development status of the MIFIST tokamak // Bulletin of the NRNU MEPhI, 2019, No. 6, pp. 491-497</w:t>
      </w:r>
    </w:p>
    <w:p>
      <w:pPr>
        <w:pStyle w:val="ZvReferencesen"/>
        <w:numPr>
          <w:ilvl w:val="0"/>
          <w:numId w:val="3"/>
        </w:numPr>
        <w:ind w:left="567" w:hanging="567"/>
        <w:rPr/>
      </w:pPr>
      <w:r>
        <w:rPr/>
        <w:t xml:space="preserve">N.N. Bakharev et al. Results of the first experiments on the Globus-M2 tokamak // Plasma Physics, 2020, No. 7, pp. 579-587 </w:t>
      </w:r>
    </w:p>
    <w:p>
      <w:pPr>
        <w:pStyle w:val="ZvReferencesen"/>
        <w:numPr>
          <w:ilvl w:val="0"/>
          <w:numId w:val="3"/>
        </w:numPr>
        <w:ind w:left="567" w:hanging="567"/>
        <w:rPr/>
      </w:pPr>
      <w:r>
        <w:rPr/>
        <w:t xml:space="preserve">O. Grover et al. Remote operation of the GOLEM tokamak for Fusion Education // Fusion Eng. Des., 2016, </w:t>
      </w:r>
      <w:r>
        <w:rPr>
          <w:b/>
        </w:rPr>
        <w:t>112</w:t>
      </w:r>
      <w:r>
        <w:rPr/>
        <w:t>, 1038–1044</w:t>
      </w:r>
      <w:r>
        <w:br w:type="page"/>
      </w:r>
    </w:p>
    <w:p>
      <w:pPr>
        <w:pStyle w:val="Normal"/>
        <w:numPr>
          <w:ilvl w:val="0"/>
          <w:numId w:val="3"/>
        </w:numPr>
        <w:ind w:hanging="567"/>
        <w:rPr/>
      </w:pPr>
      <w:r>
        <w:rPr>
          <w:b/>
        </w:rPr>
        <w:t>List of authors</w:t>
      </w:r>
    </w:p>
    <w:p>
      <w:pPr>
        <w:pStyle w:val="21"/>
        <w:numPr>
          <w:ilvl w:val="0"/>
          <w:numId w:val="4"/>
        </w:numPr>
        <w:rPr>
          <w:rStyle w:val="InternetLink"/>
          <w:color w:val="auto"/>
          <w:u w:val="none"/>
        </w:rPr>
      </w:pPr>
      <w:r>
        <w:rPr>
          <w:u w:val="single"/>
        </w:rPr>
        <w:t>Georgii Alexandrovich Sarancha</w:t>
      </w:r>
      <w:r>
        <w:rPr/>
        <w:t>, Russia, Moscow, NRC KI, e-mail: sarancha.ga@phystech.edu</w:t>
      </w:r>
    </w:p>
    <w:p>
      <w:pPr>
        <w:pStyle w:val="21"/>
        <w:numPr>
          <w:ilvl w:val="0"/>
          <w:numId w:val="4"/>
        </w:numPr>
        <w:rPr/>
      </w:pPr>
      <w:r>
        <w:rPr/>
        <w:t>Vojtech Svoboda, Czech Republic, Prague, FNSPE CTU, e-mail: vojtech.svoboda@fjfi.cvut.cz</w:t>
      </w:r>
    </w:p>
    <w:p>
      <w:pPr>
        <w:pStyle w:val="21"/>
        <w:numPr>
          <w:ilvl w:val="0"/>
          <w:numId w:val="4"/>
        </w:numPr>
        <w:rPr/>
      </w:pPr>
      <w:r>
        <w:rPr/>
        <w:t xml:space="preserve">Jan Stöckel, Czech Republic, Prague, </w:t>
      </w:r>
      <w:r>
        <w:rPr>
          <w:b/>
          <w:color w:val="FF0000"/>
        </w:rPr>
        <w:t>FNSPE CTU,</w:t>
      </w:r>
      <w:r>
        <w:rPr/>
        <w:t xml:space="preserve"> e-mail: stockel@ipp.cas.cz</w:t>
      </w:r>
    </w:p>
    <w:p>
      <w:pPr>
        <w:pStyle w:val="21"/>
        <w:numPr>
          <w:ilvl w:val="0"/>
          <w:numId w:val="4"/>
        </w:numPr>
        <w:spacing w:before="0" w:after="120"/>
        <w:rPr/>
      </w:pPr>
      <w:r>
        <w:rPr/>
        <w:t>Alexander Vladimirovich Melnikov, Russia, Moscow, NRC KI, e-mail: melnikov_07@yahoo.com</w:t>
      </w:r>
    </w:p>
    <w:sectPr>
      <w:headerReference w:type="default" r:id="rId6"/>
      <w:footerReference w:type="default" r:id="rId7"/>
      <w:type w:val="nextPage"/>
      <w:pgSz w:w="11906" w:h="16838"/>
      <w:pgMar w:left="1134" w:right="1134" w:header="624" w:top="1418" w:footer="624"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76835" cy="175260"/>
              <wp:effectExtent l="0" t="0" r="0" b="0"/>
              <wp:wrapSquare wrapText="largest"/>
              <wp:docPr id="3"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37.95pt;mso-position-horizontal:center;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20"/>
      </w:rPr>
    </w:pPr>
    <w:r>
      <w:rPr>
        <w:sz w:val="20"/>
      </w:rPr>
      <w:t xml:space="preserve"> </w:t>
    </w:r>
    <w:r>
      <w:rPr>
        <w:sz w:val="20"/>
        <w:lang w:val="en-US"/>
      </w:rPr>
      <w:t>XLVIII</w:t>
    </w:r>
    <w:r>
      <w:rPr>
        <w:sz w:val="20"/>
      </w:rPr>
      <w:t xml:space="preserve"> Международная (Звенигородская) конференция по физике плазмы и УТС,  15 – 19 марта 2021 г.</w:t>
    </w:r>
  </w:p>
  <w:p>
    <w:pPr>
      <w:pStyle w:val="Header"/>
      <w:jc w:val="center"/>
      <w:rPr>
        <w:sz w:val="20"/>
        <w:lang w:val="en-US"/>
      </w:rPr>
    </w:pPr>
    <w:r>
      <w:rPr>
        <w:sz w:val="20"/>
        <w:lang w:val="en-US"/>
      </w:rPr>
      <mc:AlternateContent>
        <mc:Choice Requires="wps">
          <w:drawing>
            <wp:anchor behindDoc="1" distT="0" distB="0" distL="113665" distR="114300" simplePos="0" locked="0" layoutInCell="1" allowOverlap="1" relativeHeight="3" wp14:anchorId="549CEB3E">
              <wp:simplePos x="0" y="0"/>
              <wp:positionH relativeFrom="column">
                <wp:posOffset>228600</wp:posOffset>
              </wp:positionH>
              <wp:positionV relativeFrom="paragraph">
                <wp:posOffset>15240</wp:posOffset>
              </wp:positionV>
              <wp:extent cx="5654675" cy="1270"/>
              <wp:effectExtent l="9525" t="5715" r="13335" b="13335"/>
              <wp:wrapNone/>
              <wp:docPr id="2" name="Line 7"/>
              <a:graphic xmlns:a="http://schemas.openxmlformats.org/drawingml/2006/main">
                <a:graphicData uri="http://schemas.microsoft.com/office/word/2010/wordprocessingShape">
                  <wps:wsp>
                    <wps:cNvSpPr/>
                    <wps:spPr>
                      <a:xfrm>
                        <a:off x="0" y="0"/>
                        <a:ext cx="565416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8pt,1.2pt" to="463.15pt,1.2pt" ID="Line 7" stroked="t" style="position:absolute" wp14:anchorId="549CEB3E">
              <v:stroke color="black" weight="9360" joinstyle="round" endcap="flat"/>
              <v:fill o:detectmouseclick="t" on="false"/>
            </v:lin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sz w:val="20"/>
      </w:rPr>
      <w:t xml:space="preserve"> </w:t>
    </w:r>
    <w:r>
      <w:rPr>
        <w:sz w:val="20"/>
        <w:lang w:val="en-US"/>
      </w:rPr>
      <w:t>XLVIII</w:t>
    </w:r>
    <w:r>
      <w:rPr>
        <w:sz w:val="20"/>
      </w:rPr>
      <w:t xml:space="preserve"> Международная (Звенигородская) конференция по физике плазмы и УТС,  15 – 19 марта 2021 г.</w:t>
    </w:r>
  </w:p>
  <w:p>
    <w:pPr>
      <w:pStyle w:val="Header"/>
      <w:jc w:val="center"/>
      <w:rPr>
        <w:sz w:val="20"/>
        <w:lang w:val="en-US"/>
      </w:rPr>
    </w:pPr>
    <w:r>
      <w:rPr>
        <w:sz w:val="20"/>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67"/>
        </w:tabs>
        <w:ind w:left="567" w:hanging="567"/>
      </w:pPr>
      <w:rPr>
        <w:smallCaps w:val="false"/>
        <w:caps w:val="false"/>
        <w:dstrike w:val="false"/>
        <w:strike w:val="false"/>
        <w:vertAlign w:val="baseline"/>
        <w:position w:val="0"/>
        <w:sz w:val="24"/>
        <w:sz w:val="24"/>
        <w:i w:val="false"/>
        <w:b w:val="false"/>
        <w:vanish w:val="false"/>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mallCaps w:val="false"/>
        <w:caps w:val="false"/>
        <w:dstrike w:val="false"/>
        <w:strike w:val="false"/>
        <w:vertAlign w:val="baseline"/>
        <w:position w:val="0"/>
        <w:sz w:val="24"/>
        <w:sz w:val="24"/>
        <w:i w:val="false"/>
        <w:b w:val="false"/>
        <w:vanish w:val="false"/>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5123"/>
    <w:pPr>
      <w:widowControl/>
      <w:bidi w:val="0"/>
      <w:jc w:val="left"/>
    </w:pPr>
    <w:rPr>
      <w:rFonts w:ascii="Times New Roman" w:hAnsi="Times New Roman" w:eastAsia="ＭＳ 明朝" w:cs="Times New Roman" w:eastAsiaTheme="minorEastAsia"/>
      <w:color w:val="auto"/>
      <w:kern w:val="0"/>
      <w:sz w:val="24"/>
      <w:szCs w:val="24"/>
      <w:lang w:val="ru-RU" w:eastAsia="ru-RU" w:bidi="ar-SA"/>
    </w:rPr>
  </w:style>
  <w:style w:type="paragraph" w:styleId="Heading1">
    <w:name w:val="Heading 1"/>
    <w:basedOn w:val="Normal"/>
    <w:qFormat/>
    <w:rsid w:val="00f95123"/>
    <w:pPr>
      <w:keepNext w:val="true"/>
      <w:spacing w:before="240" w:after="60"/>
      <w:outlineLvl w:val="0"/>
    </w:pPr>
    <w:rPr>
      <w:rFonts w:ascii="Arial" w:hAnsi="Arial" w:cs="Arial"/>
      <w:b/>
      <w:bCs/>
      <w:kern w:val="2"/>
      <w:sz w:val="32"/>
      <w:szCs w:val="32"/>
    </w:rPr>
  </w:style>
  <w:style w:type="paragraph" w:styleId="Heading2">
    <w:name w:val="Heading 2"/>
    <w:basedOn w:val="Normal"/>
    <w:qFormat/>
    <w:rsid w:val="00f95123"/>
    <w:pPr>
      <w:keepNext w:val="true"/>
      <w:spacing w:before="240" w:after="60"/>
      <w:outlineLvl w:val="1"/>
    </w:pPr>
    <w:rPr>
      <w:rFonts w:ascii="Arial" w:hAnsi="Arial" w:cs="Arial"/>
      <w:b/>
      <w:bCs/>
      <w:i/>
      <w:iCs/>
      <w:sz w:val="28"/>
      <w:szCs w:val="28"/>
    </w:rPr>
  </w:style>
  <w:style w:type="paragraph" w:styleId="Heading3">
    <w:name w:val="Heading 3"/>
    <w:basedOn w:val="Normal"/>
    <w:qFormat/>
    <w:rsid w:val="00f95123"/>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f95123"/>
    <w:rPr/>
  </w:style>
  <w:style w:type="character" w:styleId="InternetLink">
    <w:name w:val="Internet Link"/>
    <w:basedOn w:val="DefaultParagraphFont"/>
    <w:unhideWhenUsed/>
    <w:rsid w:val="00710b95"/>
    <w:rPr>
      <w:color w:val="0000FF" w:themeColor="hyperlink"/>
      <w:u w:val="single"/>
    </w:rPr>
  </w:style>
  <w:style w:type="character" w:styleId="1" w:customStyle="1">
    <w:name w:val="Неразрешенное упоминание1"/>
    <w:basedOn w:val="DefaultParagraphFont"/>
    <w:uiPriority w:val="99"/>
    <w:semiHidden/>
    <w:unhideWhenUsed/>
    <w:qFormat/>
    <w:rsid w:val="00710b95"/>
    <w:rPr>
      <w:color w:val="605E5C"/>
      <w:shd w:fill="E1DFDD" w:val="clear"/>
    </w:rPr>
  </w:style>
  <w:style w:type="character" w:styleId="2" w:customStyle="1">
    <w:name w:val="Неразрешенное упоминание2"/>
    <w:basedOn w:val="DefaultParagraphFont"/>
    <w:uiPriority w:val="99"/>
    <w:semiHidden/>
    <w:unhideWhenUsed/>
    <w:qFormat/>
    <w:rsid w:val="0036527c"/>
    <w:rPr>
      <w:color w:val="605E5C"/>
      <w:shd w:fill="E1DFDD" w:val="clear"/>
    </w:rPr>
  </w:style>
  <w:style w:type="character" w:styleId="ListLabel1">
    <w:name w:val="ListLabel 1"/>
    <w:qFormat/>
    <w:rPr>
      <w:b w:val="false"/>
      <w:i w:val="false"/>
      <w:caps w:val="false"/>
      <w:smallCaps w:val="false"/>
      <w:strike w:val="false"/>
      <w:dstrike w:val="false"/>
      <w:vanish w:val="false"/>
      <w:color w:val="000000"/>
      <w:position w:val="0"/>
      <w:sz w:val="24"/>
      <w:sz w:val="24"/>
      <w:vertAlign w:val="baseline"/>
    </w:rPr>
  </w:style>
  <w:style w:type="character" w:styleId="ListLabel2">
    <w:name w:val="ListLabel 2"/>
    <w:qFormat/>
    <w:rPr>
      <w:b w:val="false"/>
      <w:i w:val="false"/>
      <w:caps w:val="false"/>
      <w:smallCaps w:val="false"/>
      <w:strike w:val="false"/>
      <w:dstrike w:val="false"/>
      <w:vanish w:val="false"/>
      <w:color w:val="000000"/>
      <w:position w:val="0"/>
      <w:sz w:val="24"/>
      <w:sz w:val="24"/>
      <w:vertAlign w:val="baseline"/>
    </w:rPr>
  </w:style>
  <w:style w:type="character" w:styleId="ListLabel3">
    <w:name w:val="ListLabel 3"/>
    <w:qFormat/>
    <w:rPr>
      <w:b w:val="false"/>
      <w:i w:val="false"/>
      <w:caps w:val="false"/>
      <w:smallCaps w:val="false"/>
      <w:strike w:val="false"/>
      <w:dstrike w:val="false"/>
      <w:vanish w:val="false"/>
      <w:color w:val="000000"/>
      <w:position w:val="0"/>
      <w:sz w:val="24"/>
      <w:sz w:val="24"/>
      <w:vertAlign w:val="baseline"/>
    </w:rPr>
  </w:style>
  <w:style w:type="character" w:styleId="ListLabel4">
    <w:name w:val="ListLabel 4"/>
    <w:qFormat/>
    <w:rPr>
      <w:color w:val="auto"/>
      <w:u w:val="none"/>
      <w:lang w:val="en-US"/>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rsid w:val="00f95123"/>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rsid w:val="00f95123"/>
    <w:pPr>
      <w:tabs>
        <w:tab w:val="center" w:pos="4677" w:leader="none"/>
        <w:tab w:val="right" w:pos="9355" w:leader="none"/>
      </w:tabs>
    </w:pPr>
    <w:rPr/>
  </w:style>
  <w:style w:type="paragraph" w:styleId="Footer">
    <w:name w:val="Footer"/>
    <w:basedOn w:val="Normal"/>
    <w:rsid w:val="00f95123"/>
    <w:pPr>
      <w:tabs>
        <w:tab w:val="center" w:pos="4677" w:leader="none"/>
        <w:tab w:val="right" w:pos="9355" w:leader="none"/>
      </w:tabs>
    </w:pPr>
    <w:rPr/>
  </w:style>
  <w:style w:type="paragraph" w:styleId="ZvAuthor" w:customStyle="1">
    <w:name w:val="Zv-Author"/>
    <w:basedOn w:val="Normal"/>
    <w:qFormat/>
    <w:rsid w:val="00f95123"/>
    <w:pPr>
      <w:spacing w:before="0" w:after="120"/>
      <w:ind w:left="397" w:right="397" w:hanging="0"/>
      <w:jc w:val="center"/>
    </w:pPr>
    <w:rPr>
      <w:bCs/>
      <w:iCs/>
      <w:szCs w:val="20"/>
    </w:rPr>
  </w:style>
  <w:style w:type="paragraph" w:styleId="ZvOrganization" w:customStyle="1">
    <w:name w:val="Zv-Organization"/>
    <w:basedOn w:val="Normal"/>
    <w:qFormat/>
    <w:rsid w:val="00f95123"/>
    <w:pPr>
      <w:tabs>
        <w:tab w:val="center" w:pos="4320" w:leader="none"/>
      </w:tabs>
      <w:spacing w:before="120" w:after="240"/>
      <w:ind w:left="567" w:hanging="0"/>
    </w:pPr>
    <w:rPr>
      <w:i/>
      <w:szCs w:val="20"/>
    </w:rPr>
  </w:style>
  <w:style w:type="paragraph" w:styleId="ZvTitlereport" w:customStyle="1">
    <w:name w:val="Zv-Title_report"/>
    <w:basedOn w:val="Heading3"/>
    <w:next w:val="ZvAuthor"/>
    <w:qFormat/>
    <w:rsid w:val="00f95123"/>
    <w:pPr>
      <w:spacing w:before="0" w:after="120"/>
      <w:jc w:val="center"/>
    </w:pPr>
    <w:rPr>
      <w:rFonts w:ascii="Times New Roman" w:hAnsi="Times New Roman" w:cs="Times New Roman"/>
      <w:bCs w:val="false"/>
      <w:caps/>
      <w:kern w:val="2"/>
      <w:sz w:val="24"/>
      <w:szCs w:val="20"/>
    </w:rPr>
  </w:style>
  <w:style w:type="paragraph" w:styleId="ZvTitleReferencesru" w:customStyle="1">
    <w:name w:val="Zv-Title_References-ru"/>
    <w:basedOn w:val="TextBody"/>
    <w:qFormat/>
    <w:rsid w:val="00f95123"/>
    <w:pPr>
      <w:spacing w:before="120" w:after="140"/>
    </w:pPr>
    <w:rPr>
      <w:b/>
      <w:bCs/>
      <w:szCs w:val="20"/>
      <w:lang w:eastAsia="en-US"/>
    </w:rPr>
  </w:style>
  <w:style w:type="paragraph" w:styleId="Zvbodyreport" w:customStyle="1">
    <w:name w:val="Zv-body_report"/>
    <w:basedOn w:val="Normal"/>
    <w:qFormat/>
    <w:rsid w:val="00f95123"/>
    <w:pPr>
      <w:ind w:firstLine="284"/>
      <w:jc w:val="both"/>
    </w:pPr>
    <w:rPr/>
  </w:style>
  <w:style w:type="paragraph" w:styleId="ZvReferencesru" w:customStyle="1">
    <w:name w:val="Zv-References-ru"/>
    <w:basedOn w:val="TextBody"/>
    <w:qFormat/>
    <w:rsid w:val="00f95123"/>
    <w:pPr>
      <w:spacing w:before="0" w:after="0"/>
    </w:pPr>
    <w:rPr>
      <w:szCs w:val="20"/>
      <w:lang w:eastAsia="en-US"/>
    </w:rPr>
  </w:style>
  <w:style w:type="paragraph" w:styleId="Zvformula" w:customStyle="1">
    <w:name w:val="Zv-formula"/>
    <w:basedOn w:val="Zvbodyreport"/>
    <w:qFormat/>
    <w:rsid w:val="00f95123"/>
    <w:pPr>
      <w:tabs>
        <w:tab w:val="center" w:pos="3960" w:leader="none"/>
        <w:tab w:val="left" w:pos="8820" w:leader="none"/>
      </w:tabs>
    </w:pPr>
    <w:rPr/>
  </w:style>
  <w:style w:type="paragraph" w:styleId="Zvbodyreportcont" w:customStyle="1">
    <w:name w:val="Zv-body_report_cont"/>
    <w:basedOn w:val="Zvbodyreport"/>
    <w:qFormat/>
    <w:rsid w:val="00f95123"/>
    <w:pPr>
      <w:ind w:hanging="0"/>
    </w:pPr>
    <w:rPr/>
  </w:style>
  <w:style w:type="paragraph" w:styleId="ZvReferencesen" w:customStyle="1">
    <w:name w:val="Zv-References-en"/>
    <w:basedOn w:val="ZvReferencesru"/>
    <w:qFormat/>
    <w:rsid w:val="00c232a0"/>
    <w:pPr>
      <w:tabs>
        <w:tab w:val="left" w:pos="567" w:leader="none"/>
      </w:tabs>
      <w:ind w:left="567" w:hanging="567"/>
    </w:pPr>
    <w:rPr>
      <w:lang w:val="en-US"/>
    </w:rPr>
  </w:style>
  <w:style w:type="paragraph" w:styleId="11" w:customStyle="1">
    <w:name w:val="Стиль1"/>
    <w:basedOn w:val="Header"/>
    <w:qFormat/>
    <w:rsid w:val="00401388"/>
    <w:pPr>
      <w:spacing w:before="0" w:after="120"/>
      <w:ind w:left="426" w:hanging="0"/>
    </w:pPr>
    <w:rPr>
      <w:lang w:val="en-US"/>
    </w:rPr>
  </w:style>
  <w:style w:type="paragraph" w:styleId="21" w:customStyle="1">
    <w:name w:val="Стиль2"/>
    <w:basedOn w:val="11"/>
    <w:qFormat/>
    <w:rsid w:val="00401388"/>
    <w:pPr>
      <w:ind w:left="360" w:hanging="0"/>
    </w:pPr>
    <w:rPr/>
  </w:style>
  <w:style w:type="paragraph" w:styleId="ZvTitleReferencesen" w:customStyle="1">
    <w:name w:val="Zv-Title_References-en"/>
    <w:basedOn w:val="ZvTitleReferencesru"/>
    <w:next w:val="ZvReferencesen"/>
    <w:qFormat/>
    <w:rsid w:val="00e7021a"/>
    <w:pPr/>
    <w:rPr/>
  </w:style>
  <w:style w:type="paragraph" w:styleId="Caption1">
    <w:name w:val="caption"/>
    <w:basedOn w:val="Normal"/>
    <w:unhideWhenUsed/>
    <w:qFormat/>
    <w:rsid w:val="007007c6"/>
    <w:pPr>
      <w:spacing w:before="0" w:after="200"/>
    </w:pPr>
    <w:rPr>
      <w:i/>
      <w:iCs/>
      <w:color w:val="1F497D" w:themeColor="text2"/>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mailto:info@mephi.ru" TargetMode="Externa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Zven_2021</Template>
  <TotalTime>11</TotalTime>
  <Application>LibreOffice/6.0.7.3$Linux_X86_64 LibreOffice_project/00m0$Build-3</Application>
  <Pages>4</Pages>
  <Words>850</Words>
  <Characters>5296</Characters>
  <CharactersWithSpaces>6106</CharactersWithSpaces>
  <Paragraphs>35</Paragraphs>
  <Company>k13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2020-11-22T17:04:00Z</dcterms:created>
  <dc:creator>Никита Вадимов</dc:creator>
  <dc:description/>
  <dc:language>en-US</dc:language>
  <cp:lastModifiedBy>Vojtech Svoboda</cp:lastModifiedBy>
  <cp:lastPrinted>1900-12-31T23:00:00Z</cp:lastPrinted>
  <dcterms:modified xsi:type="dcterms:W3CDTF">2020-11-23T08:21:36Z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k13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