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List of possible advisors: Vojtěch Svoboda, Ondřej Ficker,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Marek Tunkl</w:t>
        </w:r>
      </w:hyperlink>
      <w:r w:rsidDel="00000000" w:rsidR="00000000" w:rsidRPr="00000000">
        <w:rPr>
          <w:rtl w:val="0"/>
        </w:rPr>
        <w:t xml:space="preserve">, Lukáš Lobko, Štěpán Malec, Jan Buryanec, Sara Abasi, Jakub Chlum… (all faculty PhD students should be involved)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List of topics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Magnetics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Measurement of poloidal flux at multiple ex-vessel locations (multiple flux loops)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Characterisation of Vessel and “Kožuch” properties by measurement using in-vessel and ex-vessel coils (Bpol, Bt if available)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Measurement of error fields from TF coils and iron core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Modelling of part of the tokamak circuits in Ansys Maxwell or equivalent software and matching the results with experimental data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B-H curve characteristics of the iron core of the tokamak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Wall conditioning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role of pressure and duration of glow discharge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role of temperature in plasma parameters of discharges after the baking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Breakdown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Breakdown studies/optimisation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Breakdown modelling/calculation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Runaway electrons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 discharge optimisation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 discharge flagging + relative runaway electron contribution/real temperature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Diagnostics  - Radiation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the tokamak plasma usually look blue? - analysis of spectroscopic and camera data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Camera tomography and Cherab modelling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Synthesis of “fast” and “slow” spectroscopy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Diagnostics - interferometery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flagging of discharges with faulty density signal, correction of errors, etc.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Discharge post postcessing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Transport barrier/probe measurements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unklmar@fjfi.cvu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