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rPr>
      </w:pPr>
      <w:r>
        <w:rPr>
          <w:b/>
        </w:rPr>
        <w:t>PROGRAMME OF COORDINATED RESEARCH ACTIVITIES</w:t>
      </w:r>
    </w:p>
    <w:p>
      <w:pPr>
        <w:pStyle w:val="Normal"/>
        <w:spacing w:lineRule="auto" w:line="240" w:before="0" w:after="0"/>
        <w:rPr/>
      </w:pPr>
      <w:r>
        <w:rPr>
          <w:bCs/>
          <w:sz w:val="20"/>
          <w:szCs w:val="20"/>
          <w:lang w:val="fr-FR"/>
        </w:rPr>
        <w:t xml:space="preserve">Webpage: </w:t>
      </w:r>
      <w:hyperlink r:id="rId2">
        <w:r>
          <w:rPr>
            <w:rStyle w:val="InternetLink"/>
            <w:sz w:val="20"/>
            <w:szCs w:val="20"/>
            <w:lang w:val="fr-FR"/>
          </w:rPr>
          <w:t>www.iaea.org/services/coordinated-research-activities</w:t>
        </w:r>
      </w:hyperlink>
    </w:p>
    <w:p>
      <w:pPr>
        <w:pStyle w:val="Normal"/>
        <w:spacing w:lineRule="auto" w:line="240" w:before="0" w:after="0"/>
        <w:rPr>
          <w:bCs/>
          <w:sz w:val="20"/>
          <w:szCs w:val="20"/>
          <w:lang w:val="fr-FR"/>
        </w:rPr>
      </w:pPr>
      <w:r>
        <w:rPr>
          <w:bCs/>
          <w:sz w:val="20"/>
          <w:szCs w:val="20"/>
          <w:lang w:val="fr-FR"/>
        </w:rPr>
      </w:r>
    </w:p>
    <w:p>
      <w:pPr>
        <w:pStyle w:val="Normal"/>
        <w:spacing w:before="0" w:after="120"/>
        <w:jc w:val="center"/>
        <w:rPr/>
      </w:pPr>
      <w:r>
        <w:rPr>
          <w:rFonts w:eastAsia="Calibri"/>
          <w:b/>
          <w:color w:val="auto"/>
          <w:kern w:val="0"/>
          <w:sz w:val="28"/>
          <w:szCs w:val="28"/>
          <w:lang w:val="en-GB" w:eastAsia="en-US" w:bidi="ar-SA"/>
        </w:rPr>
        <w:t>Final</w:t>
      </w:r>
      <w:r>
        <w:rPr>
          <w:b/>
          <w:sz w:val="28"/>
          <w:szCs w:val="28"/>
        </w:rPr>
        <w:t xml:space="preserve"> Report for Contracts </w:t>
      </w:r>
    </w:p>
    <w:p>
      <w:pPr>
        <w:pStyle w:val="Normal"/>
        <w:jc w:val="center"/>
        <w:rPr/>
      </w:pPr>
      <w:r>
        <w:rPr>
          <w:b/>
          <w:i/>
          <w:sz w:val="20"/>
        </w:rPr>
        <w:t xml:space="preserve">Please send the Progress Report to </w:t>
      </w:r>
      <w:hyperlink r:id="rId3">
        <w:r>
          <w:rPr>
            <w:rStyle w:val="InternetLink"/>
            <w:b/>
            <w:i/>
            <w:sz w:val="20"/>
          </w:rPr>
          <w:t>research.contracts@iaea.org</w:t>
        </w:r>
      </w:hyperlink>
    </w:p>
    <w:tbl>
      <w:tblPr>
        <w:tblW w:w="9242" w:type="dxa"/>
        <w:jc w:val="left"/>
        <w:tblInd w:w="-5" w:type="dxa"/>
        <w:tblCellMar>
          <w:top w:w="0" w:type="dxa"/>
          <w:left w:w="103" w:type="dxa"/>
          <w:bottom w:w="0" w:type="dxa"/>
          <w:right w:w="108" w:type="dxa"/>
        </w:tblCellMar>
      </w:tblPr>
      <w:tblGrid>
        <w:gridCol w:w="4621"/>
        <w:gridCol w:w="4620"/>
      </w:tblGrid>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CRP code: </w:t>
            </w:r>
            <w:r>
              <w:fldChar w:fldCharType="begin">
                <w:ffData>
                  <w:name w:val="__Fieldmark__53_3799824974"/>
                  <w:enabled/>
                  <w:calcOnExit w:val="0"/>
                  <w:textInput/>
                </w:ffData>
              </w:fldChar>
            </w:r>
            <w:r>
              <w:rPr/>
              <w:instrText> FORMTEXT </w:instrText>
            </w:r>
            <w:r>
              <w:rPr/>
            </w:r>
            <w:r>
              <w:rPr/>
              <w:fldChar w:fldCharType="separate"/>
            </w:r>
            <w:r>
              <w:rPr/>
              <w:t>F13019   </w:t>
            </w:r>
            <w:bookmarkStart w:id="0" w:name="_GoBack"/>
            <w:bookmarkStart w:id="1" w:name="__Fieldmark__47_825417748"/>
            <w:bookmarkStart w:id="2" w:name="__Fieldmark__41_6213582861"/>
            <w:bookmarkStart w:id="3" w:name="__Fieldmark__29_3784805626"/>
            <w:bookmarkStart w:id="4" w:name="__Fieldmark__157_2212985382"/>
            <w:bookmarkStart w:id="5" w:name="__Fieldmark__157_22129853821"/>
            <w:bookmarkStart w:id="6" w:name="__Fieldmark__25_41039673641"/>
            <w:bookmarkStart w:id="7" w:name="__Fieldmark__27_580378040"/>
            <w:bookmarkStart w:id="8" w:name="__Fieldmark__41_621358286"/>
            <w:bookmarkStart w:id="9" w:name="__Fieldmark__27_5803780401"/>
            <w:bookmarkStart w:id="10" w:name="__Fieldmark__25_4103967364"/>
            <w:bookmarkStart w:id="11" w:name="__Fieldmark__29_37848056261"/>
            <w:bookmarkStart w:id="12" w:name="__Fieldmark__47_8254177481"/>
            <w:r>
              <w:rPr/>
            </w:r>
            <w:r>
              <w:rPr/>
              <w:fldChar w:fldCharType="end"/>
            </w:r>
            <w:bookmarkEnd w:id="0"/>
            <w:bookmarkEnd w:id="1"/>
            <w:bookmarkEnd w:id="2"/>
            <w:bookmarkEnd w:id="3"/>
            <w:bookmarkEnd w:id="4"/>
            <w:bookmarkEnd w:id="5"/>
            <w:bookmarkEnd w:id="6"/>
            <w:bookmarkEnd w:id="7"/>
            <w:bookmarkEnd w:id="8"/>
            <w:bookmarkEnd w:id="9"/>
            <w:bookmarkEnd w:id="10"/>
            <w:bookmarkEnd w:id="11"/>
            <w:bookmarkEnd w:id="12"/>
          </w:p>
        </w:tc>
        <w:tc>
          <w:tcPr>
            <w:tcW w:w="46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CRP title: </w:t>
            </w:r>
            <w:r>
              <w:fldChar w:fldCharType="begin">
                <w:ffData>
                  <w:name w:val="__Fieldmark__95_3799824974"/>
                  <w:enabled/>
                  <w:calcOnExit w:val="0"/>
                  <w:textInput/>
                </w:ffData>
              </w:fldChar>
            </w:r>
            <w:r>
              <w:rPr/>
              <w:instrText> FORMTEXT </w:instrText>
            </w:r>
            <w:r>
              <w:rPr/>
            </w:r>
            <w:r>
              <w:rPr/>
              <w:fldChar w:fldCharType="separate"/>
            </w:r>
            <w:r>
              <w:rPr/>
              <w:t>Network of Small and Medium Size Magnetic Confinement Fusion  Devices for Fusion Research   </w:t>
            </w:r>
            <w:bookmarkStart w:id="13" w:name="__Fieldmark__38_41039673641"/>
            <w:bookmarkStart w:id="14" w:name="__Fieldmark__71_621358286"/>
            <w:bookmarkStart w:id="15" w:name="__Fieldmark__47_3784805626"/>
            <w:bookmarkStart w:id="16" w:name="__Fieldmark__83_8254177481"/>
            <w:bookmarkStart w:id="17" w:name="__Fieldmark__83_825417748"/>
            <w:bookmarkStart w:id="18" w:name="__Fieldmark__38_4103967364"/>
            <w:bookmarkStart w:id="19" w:name="__Fieldmark__38_580378040"/>
            <w:bookmarkStart w:id="20" w:name="__Fieldmark__47_37848056261"/>
            <w:bookmarkStart w:id="21" w:name="__Fieldmark__71_6213582861"/>
            <w:bookmarkStart w:id="22" w:name="__Fieldmark__38_5803780401"/>
            <w:bookmarkStart w:id="23" w:name="__Fieldmark__181_22129853821"/>
            <w:bookmarkStart w:id="24" w:name="__Fieldmark__181_2212985382"/>
            <w:r>
              <w:rPr/>
            </w:r>
            <w:r>
              <w:rPr/>
              <w:fldChar w:fldCharType="end"/>
            </w:r>
            <w:bookmarkEnd w:id="13"/>
            <w:bookmarkEnd w:id="14"/>
            <w:bookmarkEnd w:id="15"/>
            <w:bookmarkEnd w:id="16"/>
            <w:bookmarkEnd w:id="17"/>
            <w:bookmarkEnd w:id="18"/>
            <w:bookmarkEnd w:id="19"/>
            <w:bookmarkEnd w:id="20"/>
            <w:bookmarkEnd w:id="21"/>
            <w:bookmarkEnd w:id="22"/>
            <w:bookmarkEnd w:id="23"/>
            <w:bookmarkEnd w:id="24"/>
          </w:p>
        </w:tc>
      </w:tr>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Contract Number: </w:t>
            </w:r>
            <w:r>
              <w:fldChar w:fldCharType="begin">
                <w:ffData>
                  <w:name w:val="__Fieldmark__137_3799824974"/>
                  <w:enabled/>
                  <w:calcOnExit w:val="0"/>
                  <w:textInput/>
                </w:ffData>
              </w:fldChar>
            </w:r>
            <w:r>
              <w:rPr/>
              <w:instrText> FORMTEXT </w:instrText>
            </w:r>
            <w:r>
              <w:rPr/>
            </w:r>
            <w:r>
              <w:rPr/>
              <w:fldChar w:fldCharType="separate"/>
            </w:r>
            <w:r>
              <w:rPr/>
              <w:t>22782   </w:t>
            </w:r>
            <w:bookmarkStart w:id="25" w:name="__Fieldmark__50_580378040"/>
            <w:bookmarkStart w:id="26" w:name="__Fieldmark__205_22129853821"/>
            <w:bookmarkStart w:id="27" w:name="__Fieldmark__119_825417748"/>
            <w:bookmarkStart w:id="28" w:name="__Fieldmark__101_6213582861"/>
            <w:bookmarkStart w:id="29" w:name="__Fieldmark__50_5803780401"/>
            <w:bookmarkStart w:id="30" w:name="__Fieldmark__205_2212985382"/>
            <w:bookmarkStart w:id="31" w:name="__Fieldmark__65_3784805626"/>
            <w:bookmarkStart w:id="32" w:name="__Fieldmark__51_4103967364"/>
            <w:bookmarkStart w:id="33" w:name="__Fieldmark__119_8254177481"/>
            <w:bookmarkStart w:id="34" w:name="__Fieldmark__101_621358286"/>
            <w:bookmarkStart w:id="35" w:name="__Fieldmark__65_37848056261"/>
            <w:bookmarkStart w:id="36" w:name="__Fieldmark__51_41039673641"/>
            <w:r>
              <w:rPr/>
            </w:r>
            <w:r>
              <w:rPr/>
              <w:fldChar w:fldCharType="end"/>
            </w:r>
            <w:bookmarkEnd w:id="25"/>
            <w:bookmarkEnd w:id="26"/>
            <w:bookmarkEnd w:id="27"/>
            <w:bookmarkEnd w:id="28"/>
            <w:bookmarkEnd w:id="29"/>
            <w:bookmarkEnd w:id="30"/>
            <w:bookmarkEnd w:id="31"/>
            <w:bookmarkEnd w:id="32"/>
            <w:bookmarkEnd w:id="33"/>
            <w:bookmarkEnd w:id="34"/>
            <w:bookmarkEnd w:id="35"/>
            <w:bookmarkEnd w:id="36"/>
          </w:p>
        </w:tc>
        <w:tc>
          <w:tcPr>
            <w:tcW w:w="46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Contract title: </w:t>
            </w:r>
            <w:r>
              <w:fldChar w:fldCharType="begin">
                <w:ffData>
                  <w:name w:val="__Fieldmark__181_3799824974"/>
                  <w:enabled/>
                  <w:calcOnExit w:val="0"/>
                  <w:textInput/>
                </w:ffData>
              </w:fldChar>
            </w:r>
            <w:r>
              <w:rPr/>
              <w:instrText> FORMTEXT </w:instrText>
            </w:r>
            <w:r>
              <w:rPr/>
            </w:r>
            <w:r>
              <w:rPr/>
              <w:fldChar w:fldCharType="separate"/>
            </w:r>
            <w:r>
              <w:rPr/>
            </w:r>
            <w:r>
              <w:rPr>
                <w:rFonts w:eastAsia="Calibri" w:cs="Calibri"/>
                <w:lang w:val="cs-CZ" w:eastAsia="cs-CZ"/>
              </w:rPr>
              <w:t>Scientific and education activities on the GOLEM tokamak in the framework of the IAEA C</w:t>
            </w:r>
            <w:r>
              <w:rPr>
                <w:rFonts w:cs="Calibri"/>
                <w:lang w:val="cs-CZ" w:eastAsia="cs-CZ"/>
              </w:rPr>
              <w:t>RP</w:t>
            </w:r>
            <w:r>
              <w:rPr/>
              <w:t>  </w:t>
            </w:r>
            <w:bookmarkStart w:id="37" w:name="__Fieldmark__85_3784805626"/>
            <w:bookmarkStart w:id="38" w:name="__Fieldmark__157_8254177481"/>
            <w:bookmarkStart w:id="39" w:name="__Fieldmark__231_2212985382"/>
            <w:bookmarkStart w:id="40" w:name="__Fieldmark__62_580378040"/>
            <w:bookmarkStart w:id="41" w:name="__Fieldmark__65_4103967364"/>
            <w:bookmarkStart w:id="42" w:name="__Fieldmark__133_6213582861"/>
            <w:bookmarkStart w:id="43" w:name="__Fieldmark__62_5803780401"/>
            <w:bookmarkStart w:id="44" w:name="__Fieldmark__85_37848056261"/>
            <w:bookmarkStart w:id="45" w:name="__Fieldmark__65_41039673641"/>
            <w:bookmarkStart w:id="46" w:name="__Fieldmark__133_621358286"/>
            <w:bookmarkStart w:id="47" w:name="__Fieldmark__231_22129853821"/>
            <w:bookmarkStart w:id="48" w:name="__Fieldmark__157_825417748"/>
            <w:r>
              <w:rPr/>
            </w:r>
            <w:r>
              <w:rPr/>
              <w:fldChar w:fldCharType="end"/>
            </w:r>
            <w:bookmarkEnd w:id="37"/>
            <w:bookmarkEnd w:id="38"/>
            <w:bookmarkEnd w:id="39"/>
            <w:bookmarkEnd w:id="40"/>
            <w:bookmarkEnd w:id="41"/>
            <w:bookmarkEnd w:id="42"/>
            <w:bookmarkEnd w:id="43"/>
            <w:bookmarkEnd w:id="44"/>
            <w:bookmarkEnd w:id="45"/>
            <w:bookmarkEnd w:id="46"/>
            <w:bookmarkEnd w:id="47"/>
            <w:bookmarkEnd w:id="48"/>
          </w:p>
        </w:tc>
      </w:tr>
      <w:tr>
        <w:trPr/>
        <w:tc>
          <w:tcPr>
            <w:tcW w:w="92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Institute Name: </w:t>
            </w:r>
            <w:r>
              <w:fldChar w:fldCharType="begin">
                <w:ffData>
                  <w:name w:val="__Fieldmark__223_3799824974"/>
                  <w:enabled/>
                  <w:calcOnExit w:val="0"/>
                  <w:textInput/>
                </w:ffData>
              </w:fldChar>
            </w:r>
            <w:r>
              <w:rPr/>
              <w:instrText> FORMTEXT </w:instrText>
            </w:r>
            <w:r>
              <w:rPr/>
            </w:r>
            <w:r>
              <w:rPr/>
              <w:fldChar w:fldCharType="separate"/>
            </w:r>
            <w:r>
              <w:rPr/>
              <w:t>Czech Technical University </w:t>
            </w:r>
            <w:bookmarkStart w:id="49" w:name="__Fieldmark__72_5803780401"/>
            <w:bookmarkStart w:id="50" w:name="__Fieldmark__255_2212985382"/>
            <w:bookmarkStart w:id="51" w:name="__Fieldmark__103_37848056261"/>
            <w:bookmarkStart w:id="52" w:name="__Fieldmark__72_580378040"/>
            <w:bookmarkStart w:id="53" w:name="__Fieldmark__255_22129853821"/>
            <w:bookmarkStart w:id="54" w:name="__Fieldmark__163_621358286"/>
            <w:bookmarkStart w:id="55" w:name="__Fieldmark__193_825417748"/>
            <w:bookmarkStart w:id="56" w:name="__Fieldmark__78_41039673641"/>
            <w:bookmarkStart w:id="57" w:name="__Fieldmark__193_8254177481"/>
            <w:bookmarkStart w:id="58" w:name="__Fieldmark__78_4103967364"/>
            <w:bookmarkStart w:id="59" w:name="__Fieldmark__163_6213582861"/>
            <w:bookmarkStart w:id="60" w:name="__Fieldmark__103_3784805626"/>
            <w:r>
              <w:rPr/>
            </w:r>
            <w:r>
              <w:rPr/>
              <w:fldChar w:fldCharType="end"/>
            </w:r>
            <w:bookmarkEnd w:id="49"/>
            <w:bookmarkEnd w:id="50"/>
            <w:bookmarkEnd w:id="51"/>
            <w:bookmarkEnd w:id="52"/>
            <w:bookmarkEnd w:id="53"/>
            <w:bookmarkEnd w:id="54"/>
            <w:bookmarkEnd w:id="55"/>
            <w:bookmarkEnd w:id="56"/>
            <w:bookmarkEnd w:id="57"/>
            <w:bookmarkEnd w:id="58"/>
            <w:bookmarkEnd w:id="59"/>
            <w:bookmarkEnd w:id="60"/>
          </w:p>
        </w:tc>
      </w:tr>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CSI: </w:t>
            </w:r>
            <w:r>
              <w:fldChar w:fldCharType="begin">
                <w:ffData>
                  <w:name w:val="__Fieldmark__265_3799824974"/>
                  <w:enabled/>
                  <w:calcOnExit w:val="0"/>
                  <w:textInput/>
                </w:ffData>
              </w:fldChar>
            </w:r>
            <w:r>
              <w:rPr/>
              <w:instrText> FORMTEXT </w:instrText>
            </w:r>
            <w:r>
              <w:rPr/>
            </w:r>
            <w:r>
              <w:rPr/>
              <w:fldChar w:fldCharType="separate"/>
            </w:r>
            <w:r>
              <w:rPr/>
              <w:t>  Vojtěch SVOBODA   </w:t>
            </w:r>
            <w:bookmarkStart w:id="61" w:name="__Fieldmark__229_825417748"/>
            <w:bookmarkStart w:id="62" w:name="__Fieldmark__92_4103967364"/>
            <w:bookmarkStart w:id="63" w:name="__Fieldmark__92_41039673641"/>
            <w:bookmarkStart w:id="64" w:name="__Fieldmark__279_2212985382"/>
            <w:bookmarkStart w:id="65" w:name="__Fieldmark__229_8254177481"/>
            <w:bookmarkStart w:id="66" w:name="__Fieldmark__279_22129853821"/>
            <w:bookmarkStart w:id="67" w:name="__Fieldmark__121_3784805626"/>
            <w:bookmarkStart w:id="68" w:name="__Fieldmark__121_37848056261"/>
            <w:bookmarkStart w:id="69" w:name="__Fieldmark__81_5803780401"/>
            <w:bookmarkStart w:id="70" w:name="__Fieldmark__81_580378040"/>
            <w:bookmarkStart w:id="71" w:name="__Fieldmark__193_621358286"/>
            <w:bookmarkStart w:id="72" w:name="__Fieldmark__193_6213582861"/>
            <w:r>
              <w:rPr/>
            </w:r>
            <w:r>
              <w:rPr/>
              <w:fldChar w:fldCharType="end"/>
            </w:r>
            <w:bookmarkEnd w:id="61"/>
            <w:bookmarkEnd w:id="62"/>
            <w:bookmarkEnd w:id="63"/>
            <w:bookmarkEnd w:id="64"/>
            <w:bookmarkEnd w:id="65"/>
            <w:bookmarkEnd w:id="66"/>
            <w:bookmarkEnd w:id="67"/>
            <w:bookmarkEnd w:id="68"/>
            <w:bookmarkEnd w:id="69"/>
            <w:bookmarkEnd w:id="70"/>
            <w:bookmarkEnd w:id="71"/>
            <w:bookmarkEnd w:id="72"/>
          </w:p>
        </w:tc>
        <w:tc>
          <w:tcPr>
            <w:tcW w:w="46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Alternate CSI: </w:t>
            </w:r>
            <w:r>
              <w:fldChar w:fldCharType="begin">
                <w:ffData>
                  <w:name w:val="__Fieldmark__307_3799824974"/>
                  <w:enabled/>
                  <w:calcOnExit w:val="0"/>
                  <w:textInput/>
                </w:ffData>
              </w:fldChar>
            </w:r>
            <w:r>
              <w:rPr/>
              <w:instrText> FORMTEXT </w:instrText>
            </w:r>
            <w:r>
              <w:rPr/>
            </w:r>
            <w:r>
              <w:rPr/>
              <w:fldChar w:fldCharType="separate"/>
            </w:r>
            <w:r>
              <w:rPr/>
              <w:t>     </w:t>
            </w:r>
            <w:bookmarkStart w:id="73" w:name="__Fieldmark__90_580378040"/>
            <w:bookmarkStart w:id="74" w:name="__Fieldmark__104_4103967364"/>
            <w:bookmarkStart w:id="75" w:name="__Fieldmark__223_6213582861"/>
            <w:bookmarkStart w:id="76" w:name="__Fieldmark__90_5803780401"/>
            <w:bookmarkStart w:id="77" w:name="__Fieldmark__139_3784805626"/>
            <w:bookmarkStart w:id="78" w:name="__Fieldmark__265_8254177481"/>
            <w:bookmarkStart w:id="79" w:name="__Fieldmark__139_37848056261"/>
            <w:bookmarkStart w:id="80" w:name="__Fieldmark__303_22129853821"/>
            <w:bookmarkStart w:id="81" w:name="__Fieldmark__303_2212985382"/>
            <w:bookmarkStart w:id="82" w:name="__Fieldmark__265_825417748"/>
            <w:bookmarkStart w:id="83" w:name="__Fieldmark__223_621358286"/>
            <w:bookmarkStart w:id="84" w:name="__Fieldmark__104_41039673641"/>
            <w:r>
              <w:rPr/>
            </w:r>
            <w:r>
              <w:rPr/>
              <w:fldChar w:fldCharType="end"/>
            </w:r>
            <w:bookmarkEnd w:id="73"/>
            <w:bookmarkEnd w:id="74"/>
            <w:bookmarkEnd w:id="75"/>
            <w:bookmarkEnd w:id="76"/>
            <w:bookmarkEnd w:id="77"/>
            <w:bookmarkEnd w:id="78"/>
            <w:bookmarkEnd w:id="79"/>
            <w:bookmarkEnd w:id="80"/>
            <w:bookmarkEnd w:id="81"/>
            <w:bookmarkEnd w:id="82"/>
            <w:bookmarkEnd w:id="83"/>
            <w:bookmarkEnd w:id="84"/>
          </w:p>
        </w:tc>
      </w:tr>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Progress Report for year: </w:t>
            </w:r>
            <w:r>
              <w:fldChar w:fldCharType="begin">
                <w:ffData>
                  <w:name w:val="__Fieldmark__349_3799824974"/>
                  <w:enabled/>
                  <w:calcOnExit w:val="0"/>
                  <w:textInput/>
                </w:ffData>
              </w:fldChar>
            </w:r>
            <w:r>
              <w:rPr/>
              <w:instrText> FORMTEXT </w:instrText>
            </w:r>
            <w:r>
              <w:rPr/>
            </w:r>
            <w:r>
              <w:rPr/>
              <w:fldChar w:fldCharType="separate"/>
            </w:r>
            <w:r>
              <w:rPr/>
              <w:t>   1-4  </w:t>
            </w:r>
            <w:bookmarkStart w:id="85" w:name="__Fieldmark__301_825417748"/>
            <w:bookmarkStart w:id="86" w:name="__Fieldmark__327_2212985382"/>
            <w:bookmarkStart w:id="87" w:name="__Fieldmark__99_580378040"/>
            <w:bookmarkStart w:id="88" w:name="__Fieldmark__255_6213582861"/>
            <w:bookmarkStart w:id="89" w:name="__Fieldmark__99_5803780401"/>
            <w:bookmarkStart w:id="90" w:name="__Fieldmark__327_22129853821"/>
            <w:bookmarkStart w:id="91" w:name="__Fieldmark__157_3784805626"/>
            <w:bookmarkStart w:id="92" w:name="__Fieldmark__255_621358286"/>
            <w:bookmarkStart w:id="93" w:name="__Fieldmark__118_41039673641"/>
            <w:bookmarkStart w:id="94" w:name="__Fieldmark__118_4103967364"/>
            <w:bookmarkStart w:id="95" w:name="__Fieldmark__301_8254177481"/>
            <w:bookmarkStart w:id="96" w:name="__Fieldmark__157_37848056261"/>
            <w:r>
              <w:rPr/>
            </w:r>
            <w:r>
              <w:rPr/>
              <w:fldChar w:fldCharType="end"/>
            </w:r>
            <w:bookmarkEnd w:id="85"/>
            <w:bookmarkEnd w:id="86"/>
            <w:bookmarkEnd w:id="87"/>
            <w:bookmarkEnd w:id="88"/>
            <w:bookmarkEnd w:id="89"/>
            <w:bookmarkEnd w:id="90"/>
            <w:bookmarkEnd w:id="91"/>
            <w:bookmarkEnd w:id="92"/>
            <w:bookmarkEnd w:id="93"/>
            <w:bookmarkEnd w:id="94"/>
            <w:bookmarkEnd w:id="95"/>
            <w:bookmarkEnd w:id="96"/>
          </w:p>
          <w:p>
            <w:pPr>
              <w:pStyle w:val="Normal"/>
              <w:spacing w:lineRule="auto" w:line="240" w:before="0" w:after="0"/>
              <w:rPr>
                <w:sz w:val="16"/>
              </w:rPr>
            </w:pPr>
            <w:r>
              <w:rPr>
                <w:sz w:val="16"/>
              </w:rPr>
              <w:t>(year 1, 2, 3…)</w:t>
            </w:r>
          </w:p>
        </w:tc>
        <w:tc>
          <w:tcPr>
            <w:tcW w:w="462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Period covered: </w:t>
            </w:r>
            <w:r>
              <w:fldChar w:fldCharType="begin">
                <w:ffData>
                  <w:name w:val="__Fieldmark__392_3799824974"/>
                  <w:enabled/>
                  <w:calcOnExit w:val="0"/>
                  <w:textInput/>
                </w:ffData>
              </w:fldChar>
            </w:r>
            <w:r>
              <w:rPr/>
              <w:instrText> FORMTEXT </w:instrText>
            </w:r>
            <w:r>
              <w:rPr/>
            </w:r>
            <w:r>
              <w:rPr/>
              <w:fldChar w:fldCharType="separate"/>
            </w:r>
            <w:r>
              <w:rPr/>
              <w:t>     </w:t>
            </w:r>
            <w:bookmarkStart w:id="97" w:name="__Fieldmark__112_580378040"/>
            <w:bookmarkStart w:id="98" w:name="__Fieldmark__338_8254177481"/>
            <w:bookmarkStart w:id="99" w:name="__Fieldmark__112_5803780401"/>
            <w:bookmarkStart w:id="100" w:name="__Fieldmark__338_825417748"/>
            <w:bookmarkStart w:id="101" w:name="__Fieldmark__352_22129853821"/>
            <w:bookmarkStart w:id="102" w:name="__Fieldmark__176_3784805626"/>
            <w:bookmarkStart w:id="103" w:name="__Fieldmark__286_621358286"/>
            <w:bookmarkStart w:id="104" w:name="__Fieldmark__176_37848056261"/>
            <w:bookmarkStart w:id="105" w:name="__Fieldmark__352_2212985382"/>
            <w:bookmarkStart w:id="106" w:name="__Fieldmark__131_41039673641"/>
            <w:bookmarkStart w:id="107" w:name="__Fieldmark__131_4103967364"/>
            <w:bookmarkStart w:id="108" w:name="__Fieldmark__286_6213582861"/>
            <w:r>
              <w:rPr/>
            </w:r>
            <w:r>
              <w:rPr/>
              <w:fldChar w:fldCharType="end"/>
            </w:r>
            <w:bookmarkEnd w:id="97"/>
            <w:bookmarkEnd w:id="98"/>
            <w:bookmarkEnd w:id="99"/>
            <w:bookmarkEnd w:id="100"/>
            <w:bookmarkEnd w:id="101"/>
            <w:bookmarkEnd w:id="102"/>
            <w:bookmarkEnd w:id="103"/>
            <w:bookmarkEnd w:id="104"/>
            <w:bookmarkEnd w:id="105"/>
            <w:bookmarkEnd w:id="106"/>
            <w:bookmarkEnd w:id="107"/>
            <w:bookmarkEnd w:id="108"/>
          </w:p>
          <w:p>
            <w:pPr>
              <w:pStyle w:val="Normal"/>
              <w:spacing w:lineRule="auto" w:line="240" w:before="0" w:after="0"/>
              <w:rPr>
                <w:sz w:val="16"/>
              </w:rPr>
            </w:pPr>
            <w:r>
              <w:rPr>
                <w:sz w:val="16"/>
              </w:rPr>
              <w:t>(2018-06-20 – 2022-12-31)</w:t>
            </w:r>
          </w:p>
        </w:tc>
      </w:tr>
    </w:tbl>
    <w:p>
      <w:pPr>
        <w:pStyle w:val="Normal"/>
        <w:jc w:val="center"/>
        <w:rPr>
          <w:b/>
          <w:b/>
        </w:rPr>
      </w:pPr>
      <w:r>
        <w:rPr>
          <w:b/>
        </w:rPr>
      </w:r>
      <w:r>
        <w:br w:type="page"/>
      </w:r>
    </w:p>
    <w:tbl>
      <w:tblPr>
        <w:tblW w:w="9276" w:type="dxa"/>
        <w:jc w:val="left"/>
        <w:tblInd w:w="-39" w:type="dxa"/>
        <w:tblCellMar>
          <w:top w:w="0" w:type="dxa"/>
          <w:left w:w="103" w:type="dxa"/>
          <w:bottom w:w="0" w:type="dxa"/>
          <w:right w:w="108" w:type="dxa"/>
        </w:tblCellMar>
      </w:tblPr>
      <w:tblGrid>
        <w:gridCol w:w="9276"/>
      </w:tblGrid>
      <w:tr>
        <w:trPr/>
        <w:tc>
          <w:tcPr>
            <w:tcW w:w="9276" w:type="dxa"/>
            <w:tcBorders>
              <w:top w:val="single" w:sz="4" w:space="0" w:color="000000"/>
              <w:left w:val="single" w:sz="4" w:space="0" w:color="000000"/>
              <w:bottom w:val="single" w:sz="4" w:space="0" w:color="000000"/>
              <w:right w:val="single" w:sz="4" w:space="0" w:color="000000"/>
            </w:tcBorders>
          </w:tcPr>
          <w:p>
            <w:pPr>
              <w:pStyle w:val="ListParagraph"/>
              <w:pageBreakBefore/>
              <w:numPr>
                <w:ilvl w:val="0"/>
                <w:numId w:val="1"/>
              </w:numPr>
              <w:spacing w:lineRule="auto" w:line="240" w:before="0" w:after="0"/>
              <w:contextualSpacing/>
              <w:rPr>
                <w:sz w:val="20"/>
                <w:szCs w:val="20"/>
              </w:rPr>
            </w:pPr>
            <w:r>
              <w:rPr>
                <w:sz w:val="20"/>
                <w:szCs w:val="20"/>
              </w:rPr>
              <w:t xml:space="preserve">Detailed programme of work, as planned at the beginning of the period, taking into account the recommendations given during Research Coordination Meetings (RCMs) and/or through communication with the Project Officer: </w:t>
            </w:r>
          </w:p>
          <w:p>
            <w:pPr>
              <w:pStyle w:val="ListParagraph"/>
              <w:spacing w:lineRule="auto" w:line="240" w:before="0" w:after="0"/>
              <w:contextualSpacing/>
              <w:rPr>
                <w:rFonts w:ascii="Times New Roman" w:hAnsi="Times New Roman" w:eastAsia="Calibri" w:cs="Times New Roman"/>
                <w:b/>
                <w:b/>
                <w:bCs/>
                <w:lang w:val="cs-CZ" w:eastAsia="ru-RU"/>
              </w:rPr>
            </w:pPr>
            <w:r>
              <w:rPr>
                <w:rFonts w:eastAsia="Calibri" w:cs="Times New Roman" w:ascii="Times New Roman" w:hAnsi="Times New Roman"/>
                <w:b/>
                <w:bCs/>
                <w:lang w:val="cs-CZ" w:eastAsia="ru-RU"/>
              </w:rPr>
            </w:r>
          </w:p>
          <w:p>
            <w:pPr>
              <w:pStyle w:val="Normal"/>
              <w:spacing w:lineRule="auto" w:line="240" w:before="0" w:after="0"/>
              <w:rPr/>
            </w:pPr>
            <w:r>
              <w:fldChar w:fldCharType="begin">
                <w:ffData>
                  <w:name w:val="__Fieldmark__460_3799824974"/>
                  <w:enabled/>
                  <w:calcOnExit w:val="0"/>
                  <w:textInput/>
                </w:ffData>
              </w:fldChar>
            </w:r>
            <w:r>
              <w:rPr/>
              <w:instrText> FORMTEXT </w:instrText>
            </w:r>
            <w:r>
              <w:rPr/>
            </w:r>
            <w:r>
              <w:rPr/>
              <w:fldChar w:fldCharType="separate"/>
            </w:r>
            <w:r>
              <w:rPr/>
            </w:r>
            <w:r>
              <w:rPr>
                <w:rFonts w:eastAsia="Calibri" w:cs="Times New Roman" w:ascii="Times New Roman" w:hAnsi="Times New Roman"/>
                <w:bCs/>
                <w:sz w:val="24"/>
                <w:szCs w:val="24"/>
                <w:lang w:val="cs-CZ" w:eastAsia="ru-RU"/>
              </w:rPr>
              <w:t xml:space="preserve">2.2.14.1.   </w:t>
            </w:r>
            <w:r>
              <w:rPr>
                <w:rFonts w:eastAsia="Calibri" w:cs="Times New Roman" w:ascii="Times New Roman" w:hAnsi="Times New Roman"/>
                <w:b/>
                <w:bCs/>
                <w:sz w:val="24"/>
                <w:szCs w:val="24"/>
                <w:lang w:val="cs-CZ" w:eastAsia="ru-RU"/>
              </w:rPr>
              <w:t>Main research activities proposed</w:t>
            </w:r>
            <w:bookmarkStart w:id="109" w:name="__Fieldmark__220_3784805626"/>
            <w:bookmarkStart w:id="110" w:name="__Fieldmark__181_4103967364"/>
            <w:bookmarkStart w:id="111" w:name="__Fieldmark__400_825417748"/>
            <w:bookmarkStart w:id="112" w:name="__Fieldmark__147_580378040"/>
            <w:bookmarkStart w:id="113" w:name="__Fieldmark__346_621358286"/>
            <w:bookmarkStart w:id="114" w:name="__Fieldmark__402_2212985382"/>
          </w:p>
          <w:p>
            <w:pPr>
              <w:pStyle w:val="TextBody"/>
              <w:spacing w:lineRule="auto" w:line="240" w:before="0" w:after="0"/>
              <w:contextualSpacing/>
              <w:rPr>
                <w:rFonts w:ascii="Times New Roman" w:hAnsi="Times New Roman" w:eastAsia="Calibri" w:cs="Times New Roman"/>
                <w:bCs/>
                <w:sz w:val="24"/>
                <w:szCs w:val="24"/>
                <w:lang w:val="cs-CZ" w:eastAsia="ru-RU"/>
              </w:rPr>
            </w:pPr>
            <w:r>
              <w:rPr>
                <w:rFonts w:eastAsia="Calibri" w:cs="Times New Roman" w:ascii="Times New Roman" w:hAnsi="Times New Roman"/>
                <w:bCs/>
                <w:sz w:val="24"/>
                <w:szCs w:val="24"/>
                <w:lang w:val="cs-CZ" w:eastAsia="ru-RU"/>
              </w:rPr>
              <w:t>The  scientific activities focus on the field of plasma edge studies using advanced probe techniques and developing diagnostics for runaway studies.</w:t>
            </w:r>
          </w:p>
          <w:p>
            <w:pPr>
              <w:pStyle w:val="TextBody"/>
              <w:spacing w:lineRule="auto" w:line="240" w:before="0" w:after="0"/>
              <w:contextualSpacing/>
              <w:rPr>
                <w:rFonts w:ascii="Times New Roman" w:hAnsi="Times New Roman" w:eastAsia="Calibri" w:cs="Times New Roman"/>
                <w:bCs/>
                <w:lang w:val="cs-CZ" w:eastAsia="ru-RU"/>
              </w:rPr>
            </w:pPr>
            <w:r>
              <w:rPr>
                <w:rFonts w:eastAsia="Calibri" w:cs="Times New Roman" w:ascii="Times New Roman" w:hAnsi="Times New Roman"/>
                <w:bCs/>
                <w:lang w:val="cs-CZ" w:eastAsia="ru-RU"/>
              </w:rPr>
            </w:r>
          </w:p>
          <w:p>
            <w:pPr>
              <w:pStyle w:val="TextBody"/>
              <w:spacing w:lineRule="auto" w:line="240" w:before="0" w:after="0"/>
              <w:contextualSpacing/>
              <w:rPr/>
            </w:pPr>
            <w:r>
              <w:rPr>
                <w:rFonts w:eastAsia="Calibri" w:cs="Times New Roman" w:ascii="Times New Roman" w:hAnsi="Times New Roman"/>
                <w:bCs/>
                <w:sz w:val="24"/>
                <w:szCs w:val="24"/>
                <w:lang w:val="cs-CZ" w:eastAsia="ru-RU"/>
              </w:rPr>
              <w:t xml:space="preserve">2.2.14.3.   </w:t>
            </w:r>
            <w:r>
              <w:rPr>
                <w:rFonts w:eastAsia="Calibri" w:cs="Times New Roman" w:ascii="Times New Roman" w:hAnsi="Times New Roman"/>
                <w:b/>
                <w:bCs/>
                <w:sz w:val="24"/>
                <w:szCs w:val="24"/>
                <w:lang w:val="cs-CZ" w:eastAsia="ru-RU"/>
              </w:rPr>
              <w:t>Education activities</w:t>
            </w:r>
          </w:p>
          <w:p>
            <w:pPr>
              <w:pStyle w:val="Normal"/>
              <w:spacing w:lineRule="auto" w:line="240" w:before="0" w:after="0"/>
              <w:rPr/>
            </w:pPr>
            <w:r>
              <w:rPr>
                <w:rFonts w:eastAsia="Calibri" w:cs="Times New Roman" w:ascii="Times New Roman" w:hAnsi="Times New Roman"/>
                <w:bCs/>
                <w:sz w:val="24"/>
                <w:szCs w:val="24"/>
                <w:lang w:val="cs-CZ" w:eastAsia="ru-RU"/>
              </w:rPr>
              <w:t>In the CRP context there are two planned education activities: GOMTRAIC, a week of hands-on experiments at the GOLEM tokamak, and a set of remote participation training courses.</w:t>
            </w:r>
            <w:r>
              <w:rPr>
                <w:sz w:val="20"/>
                <w:szCs w:val="20"/>
              </w:rPr>
              <w:t>     </w:t>
            </w:r>
            <w:bookmarkStart w:id="115" w:name="__Fieldmark__147_5803780401"/>
            <w:bookmarkStart w:id="116" w:name="__Fieldmark__402_22129853821"/>
            <w:bookmarkStart w:id="117" w:name="__Fieldmark__346_6213582861"/>
            <w:bookmarkStart w:id="118" w:name="__Fieldmark__220_37848056261"/>
            <w:bookmarkStart w:id="119" w:name="__Fieldmark__400_8254177481"/>
            <w:bookmarkStart w:id="120" w:name="__Fieldmark__181_41039673641"/>
            <w:r>
              <w:rPr/>
            </w:r>
            <w:r>
              <w:rPr/>
              <w:fldChar w:fldCharType="end"/>
            </w:r>
            <w:bookmarkEnd w:id="109"/>
            <w:bookmarkEnd w:id="110"/>
            <w:bookmarkEnd w:id="111"/>
            <w:bookmarkEnd w:id="112"/>
            <w:bookmarkEnd w:id="113"/>
            <w:bookmarkEnd w:id="114"/>
            <w:bookmarkEnd w:id="115"/>
            <w:bookmarkEnd w:id="116"/>
            <w:bookmarkEnd w:id="117"/>
            <w:bookmarkEnd w:id="118"/>
            <w:bookmarkEnd w:id="119"/>
            <w:bookmarkEnd w:id="120"/>
          </w:p>
          <w:p>
            <w:pPr>
              <w:pStyle w:val="Normal"/>
              <w:spacing w:lineRule="auto" w:line="240" w:before="0" w:after="0"/>
              <w:rPr>
                <w:sz w:val="20"/>
                <w:szCs w:val="20"/>
              </w:rPr>
            </w:pPr>
            <w:r>
              <w:rPr>
                <w:sz w:val="20"/>
                <w:szCs w:val="20"/>
              </w:rPr>
            </w:r>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contextualSpacing/>
              <w:rPr>
                <w:rFonts w:ascii="TeX Gyre Termes Math" w:hAnsi="TeX Gyre Termes Math"/>
                <w:sz w:val="22"/>
                <w:szCs w:val="22"/>
              </w:rPr>
            </w:pPr>
            <w:r>
              <w:rPr>
                <w:rFonts w:ascii="TeX Gyre Termes Math" w:hAnsi="TeX Gyre Termes Math"/>
                <w:sz w:val="22"/>
                <w:szCs w:val="22"/>
              </w:rPr>
              <w:t>Results achieved in comparison with the planned programme of work.</w:t>
            </w:r>
          </w:p>
          <w:p>
            <w:pPr>
              <w:pStyle w:val="ListParagraph"/>
              <w:spacing w:lineRule="auto" w:line="240" w:before="0" w:after="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Introduction</w:t>
            </w:r>
          </w:p>
          <w:p>
            <w:pPr>
              <w:pStyle w:val="ListParagraph"/>
              <w:spacing w:lineRule="auto" w:line="240" w:before="0" w:after="0"/>
              <w:ind w:left="0" w:right="0" w:hanging="0"/>
              <w:contextualSpacing/>
              <w:rPr>
                <w:rFonts w:ascii="Times New Roman" w:hAnsi="Times New Roman" w:eastAsia="Calibri" w:cs="Times New Roman"/>
                <w:b/>
                <w:b/>
                <w:bCs/>
                <w:sz w:val="24"/>
                <w:szCs w:val="24"/>
                <w:lang w:val="cs-CZ" w:eastAsia="ru-RU"/>
              </w:rPr>
            </w:pPr>
            <w:r>
              <w:rPr>
                <w:rFonts w:eastAsia="Calibri" w:cs="Times New Roman" w:ascii="Times New Roman" w:hAnsi="Times New Roman"/>
                <w:b/>
                <w:bCs/>
                <w:sz w:val="24"/>
                <w:szCs w:val="24"/>
                <w:lang w:val="cs-CZ" w:eastAsia="ru-RU"/>
              </w:rPr>
            </w:r>
          </w:p>
          <w:p>
            <w:pPr>
              <w:pStyle w:val="ListParagraph"/>
              <w:spacing w:lineRule="auto" w:line="240" w:before="0" w:after="0"/>
              <w:ind w:left="0" w:right="0" w:hanging="0"/>
              <w:contextualSpacing/>
              <w:rPr>
                <w:rFonts w:ascii="Times New Roman" w:hAnsi="Times New Roman" w:eastAsia="Calibri" w:cs="Times New Roman"/>
                <w:b w:val="false"/>
                <w:b w:val="false"/>
                <w:bCs w:val="false"/>
                <w:sz w:val="24"/>
                <w:szCs w:val="24"/>
                <w:lang w:val="cs-CZ" w:eastAsia="ru-RU"/>
              </w:rPr>
            </w:pPr>
            <w:r>
              <w:rPr>
                <w:rFonts w:eastAsia="Calibri" w:cs="Times New Roman" w:ascii="Times New Roman" w:hAnsi="Times New Roman"/>
                <w:b w:val="false"/>
                <w:bCs w:val="false"/>
                <w:sz w:val="24"/>
                <w:szCs w:val="24"/>
                <w:lang w:val="cs-CZ" w:eastAsia="ru-RU"/>
              </w:rPr>
              <w:t>Tokamak Golem is primarily an educational facility and therefore its program is basically divided into two parts: i) a rich spectrum of various training courses and ii) a research program, which, however, is designed in such a way that the main actors are students who solve various tasks within of their bachelor's, diploma and doctoral theses under the guidance of experts in the respective fields. This device is also the oldest functioning tokamak in the world, and therefore research topics are chosen that are worthy of contributing in some way to the mainstream of scientific activities in the field of thermonuclear fusion. Historically, we are also trying to build on the topics addressed in the previous version of this tokamak at the Academy of Sciences of the Czech Republic under the name CASTOR. therefore, the main topics are: i) physics and diagnostics of the plasma edge and ii) physics and diagnostics of the so-called runaway electrons.</w:t>
            </w:r>
          </w:p>
          <w:p>
            <w:pPr>
              <w:pStyle w:val="ListParagraph"/>
              <w:spacing w:lineRule="auto" w:line="240" w:before="0" w:after="0"/>
              <w:ind w:left="0" w:right="0" w:hanging="0"/>
              <w:contextualSpacing/>
              <w:rPr>
                <w:rFonts w:ascii="Times New Roman" w:hAnsi="Times New Roman" w:eastAsia="Calibri" w:cs="Times New Roman"/>
                <w:b w:val="false"/>
                <w:b w:val="false"/>
                <w:bCs w:val="false"/>
                <w:sz w:val="24"/>
                <w:szCs w:val="24"/>
                <w:lang w:val="cs-CZ" w:eastAsia="ru-RU"/>
              </w:rPr>
            </w:pPr>
            <w:r>
              <w:rPr>
                <w:rFonts w:eastAsia="Calibri" w:cs="Times New Roman" w:ascii="Times New Roman" w:hAnsi="Times New Roman"/>
                <w:b w:val="false"/>
                <w:bCs w:val="false"/>
                <w:sz w:val="24"/>
                <w:szCs w:val="24"/>
                <w:lang w:val="cs-CZ" w:eastAsia="ru-RU"/>
              </w:rPr>
            </w:r>
          </w:p>
          <w:p>
            <w:pPr>
              <w:pStyle w:val="ListParagraph"/>
              <w:spacing w:lineRule="auto" w:line="240" w:before="0" w:after="0"/>
              <w:ind w:left="0" w:right="0" w:hanging="0"/>
              <w:contextualSpacing/>
              <w:rPr>
                <w:rFonts w:ascii="TeX Gyre Termes Math" w:hAnsi="TeX Gyre Termes Math"/>
                <w:sz w:val="22"/>
                <w:szCs w:val="22"/>
              </w:rPr>
            </w:pPr>
            <w:r>
              <w:rPr>
                <w:rFonts w:eastAsia="Calibri" w:cs="Times New Roman" w:ascii="Times New Roman" w:hAnsi="Times New Roman"/>
                <w:b/>
                <w:bCs/>
                <w:sz w:val="24"/>
                <w:szCs w:val="24"/>
                <w:lang w:val="cs-CZ" w:eastAsia="ru-RU"/>
              </w:rPr>
              <w:t>Research activities</w:t>
            </w:r>
            <w:r>
              <w:rPr>
                <w:rFonts w:ascii="TeX Gyre Termes Math" w:hAnsi="TeX Gyre Termes Math"/>
                <w:sz w:val="22"/>
                <w:szCs w:val="22"/>
              </w:rPr>
              <w:t xml:space="preserve"> </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 plasma edge studies using advanced probe techniques</w:t>
            </w:r>
          </w:p>
          <w:p>
            <w:pPr>
              <w:pStyle w:val="ListParagraph"/>
              <w:spacing w:lineRule="auto" w:line="240" w:before="0" w:after="0"/>
              <w:ind w:left="0" w:right="0" w:hanging="0"/>
              <w:contextualSpacing/>
              <w:rPr>
                <w:b w:val="false"/>
                <w:b w:val="false"/>
                <w:bCs w:val="false"/>
              </w:rPr>
            </w:pPr>
            <w:r>
              <w:rPr>
                <w:rFonts w:ascii="TeX Gyre Termes Math" w:hAnsi="TeX Gyre Termes Math"/>
                <w:b w:val="false"/>
                <w:bCs w:val="false"/>
                <w:sz w:val="22"/>
                <w:szCs w:val="22"/>
              </w:rPr>
              <w:t xml:space="preserve">As part of so-called isotopic studies operational domains in hydrogen and helium plasmas on the GOLEM tokamak were investigated </w:t>
            </w:r>
            <w:r>
              <w:rPr>
                <w:rFonts w:ascii="TeX Gyre Termes Math" w:hAnsi="TeX Gyre Termes Math"/>
                <w:b w:val="false"/>
                <w:bCs w:val="false"/>
                <w:sz w:val="22"/>
                <w:szCs w:val="22"/>
              </w:rPr>
              <w:t xml:space="preserve">with focus on </w:t>
            </w:r>
            <w:r>
              <w:rPr>
                <w:rFonts w:ascii="TeX Gyre Termes Math" w:hAnsi="TeX Gyre Termes Math"/>
                <w:b w:val="false"/>
                <w:bCs w:val="false"/>
                <w:sz w:val="22"/>
                <w:szCs w:val="22"/>
                <w:u w:val="none"/>
              </w:rPr>
              <w:t>Self-induced transport barrier in the Helium plasma</w:t>
            </w:r>
            <w:r>
              <w:rPr>
                <w:rFonts w:ascii="TeX Gyre Termes Math" w:hAnsi="TeX Gyre Termes Math"/>
                <w:b w:val="false"/>
                <w:bCs w:val="false"/>
                <w:sz w:val="22"/>
                <w:szCs w:val="22"/>
              </w:rPr>
              <w:t xml:space="preserve"> </w:t>
            </w:r>
            <w:r>
              <w:rPr>
                <w:rFonts w:cs="Century Schoolbook L" w:ascii="TeX Gyre Termes Math" w:hAnsi="TeX Gyre Termes Math"/>
                <w:b w:val="false"/>
                <w:bCs w:val="false"/>
                <w:sz w:val="22"/>
                <w:szCs w:val="22"/>
              </w:rPr>
              <w:t xml:space="preserve">[Svo+19], [Saranch+21] </w:t>
            </w:r>
            <w:r>
              <w:rPr>
                <w:rFonts w:cs="Century Schoolbook L" w:ascii="TeX Gyre Termes Math" w:hAnsi="TeX Gyre Termes Math"/>
                <w:b w:val="false"/>
                <w:bCs w:val="false"/>
                <w:sz w:val="22"/>
                <w:szCs w:val="22"/>
              </w:rPr>
              <w:t xml:space="preserve">and </w:t>
            </w:r>
            <w:r>
              <w:rPr>
                <w:rFonts w:cs="TeX Gyre Termes Math" w:ascii="TeX Gyre Termes Math" w:hAnsi="TeX Gyre Termes Math"/>
                <w:b w:val="false"/>
                <w:bCs w:val="false"/>
                <w:i w:val="false"/>
                <w:iCs w:val="false"/>
                <w:sz w:val="22"/>
                <w:szCs w:val="22"/>
                <w:u w:val="none"/>
              </w:rPr>
              <w:t>[Mac22b].</w:t>
            </w:r>
          </w:p>
          <w:p>
            <w:pPr>
              <w:pStyle w:val="Normal"/>
              <w:spacing w:lineRule="auto" w:line="240" w:before="0" w:after="0"/>
              <w:ind w:left="0" w:right="0" w:hanging="0"/>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I:</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Operational domains</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b/>
                <w:b/>
                <w:bCs/>
                <w:sz w:val="22"/>
                <w:szCs w:val="22"/>
              </w:rPr>
            </w:pPr>
            <w:r>
              <w:rPr>
                <w:rFonts w:ascii="TeX Gyre Termes Math" w:hAnsi="TeX Gyre Termes Math"/>
                <w:b/>
                <w:bCs/>
                <w:sz w:val="22"/>
                <w:szCs w:val="22"/>
              </w:rPr>
              <w:t xml:space="preserve">Operational domain in hydrogen plasmas on the GOLEM tokamak </w:t>
            </w:r>
            <w:r>
              <w:rPr>
                <w:rFonts w:cs="Century Schoolbook L" w:ascii="TeX Gyre Termes Math" w:hAnsi="TeX Gyre Termes Math"/>
                <w:b/>
                <w:bCs/>
                <w:sz w:val="22"/>
                <w:szCs w:val="22"/>
              </w:rPr>
              <w:t>[Svo+19],</w:t>
            </w:r>
          </w:p>
          <w:p>
            <w:pPr>
              <w:pStyle w:val="Normal"/>
              <w:spacing w:lineRule="auto" w:line="240" w:before="0" w:after="0"/>
              <w:ind w:left="0" w:right="0" w:hanging="0"/>
              <w:rPr>
                <w:rFonts w:ascii="TeX Gyre Termes Math" w:hAnsi="TeX Gyre Termes Math"/>
                <w:b/>
                <w:b/>
                <w:bCs/>
                <w:sz w:val="22"/>
                <w:szCs w:val="22"/>
              </w:rPr>
            </w:pPr>
            <w:r>
              <w:rPr>
                <w:rFonts w:ascii="TeX Gyre Termes Math" w:hAnsi="TeX Gyre Termes Math"/>
                <w:b/>
                <w:bCs/>
                <w:sz w:val="22"/>
                <w:szCs w:val="22"/>
              </w:rPr>
              <w:t>Helium plasmas operation domain studies on the GOLEM tokamak [neni]</w:t>
            </w:r>
          </w:p>
          <w:p>
            <w:pPr>
              <w:pStyle w:val="Normal"/>
              <w:spacing w:lineRule="auto" w:line="240" w:before="0" w:after="0"/>
              <w:ind w:left="0" w:right="0" w:hanging="0"/>
              <w:rPr>
                <w:rFonts w:ascii="TeX Gyre Termes Math" w:hAnsi="TeX Gyre Termes Math"/>
                <w:b/>
                <w:b/>
                <w:bCs/>
                <w:sz w:val="22"/>
                <w:szCs w:val="22"/>
              </w:rPr>
            </w:pPr>
            <w:r>
              <w:rPr>
                <w:rFonts w:ascii="TeX Gyre Termes Math" w:hAnsi="TeX Gyre Termes Math"/>
                <w:b/>
                <w:bCs/>
                <w:sz w:val="22"/>
                <w:szCs w:val="22"/>
              </w:rPr>
              <w:t xml:space="preserve">Hydrogen and Helium Plasmas in the GOLEM Tokamak </w:t>
            </w:r>
            <w:r>
              <w:rPr>
                <w:rFonts w:cs="Century Schoolbook L" w:ascii="TeX Gyre Termes Math" w:hAnsi="TeX Gyre Termes Math"/>
                <w:b/>
                <w:bCs/>
                <w:sz w:val="22"/>
                <w:szCs w:val="22"/>
              </w:rPr>
              <w:t>[Saranch+21]</w:t>
            </w:r>
          </w:p>
          <w:p>
            <w:pPr>
              <w:pStyle w:val="Normal"/>
              <w:spacing w:before="0" w:after="0"/>
              <w:rPr>
                <w:rFonts w:ascii="TeX Gyre Termes Math" w:hAnsi="TeX Gyre Termes Math"/>
                <w:b/>
                <w:b/>
                <w:bCs/>
                <w:sz w:val="22"/>
                <w:szCs w:val="22"/>
                <w:u w:val="none"/>
              </w:rPr>
            </w:pPr>
            <w:r>
              <w:rPr>
                <w:rFonts w:ascii="TeX Gyre Termes Math" w:hAnsi="TeX Gyre Termes Math"/>
                <w:b/>
                <w:bCs/>
                <w:sz w:val="22"/>
                <w:szCs w:val="22"/>
                <w:u w:val="none"/>
              </w:rPr>
              <w:t xml:space="preserve">Self-induced transport barrier in the helium plasma on the tokamak GOLEM </w:t>
            </w:r>
            <w:r>
              <w:rPr>
                <w:rFonts w:cs="TeX Gyre Termes Math" w:ascii="TeX Gyre Termes Math" w:hAnsi="TeX Gyre Termes Math"/>
                <w:b w:val="false"/>
                <w:bCs w:val="false"/>
                <w:i w:val="false"/>
                <w:iCs w:val="false"/>
                <w:sz w:val="22"/>
                <w:szCs w:val="22"/>
                <w:u w:val="none"/>
              </w:rPr>
              <w:t>[Mac22b]</w:t>
            </w:r>
          </w:p>
          <w:p>
            <w:pPr>
              <w:pStyle w:val="Normal"/>
              <w:spacing w:lineRule="auto" w:line="240" w:before="0" w:after="0"/>
              <w:ind w:left="0" w:right="0" w:hanging="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 xml:space="preserve">Advanced electrostatic probes … using </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w:t>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t>Fast measurements of electron temperature on the GOLEM tokamak by means of Tunnel Probe [Macch]</w:t>
            </w:r>
          </w:p>
          <w:p>
            <w:pPr>
              <w:pStyle w:val="Normal"/>
              <w:spacing w:before="0" w:after="0"/>
              <w:rPr>
                <w:rFonts w:ascii="TeX Gyre Termes Math" w:hAnsi="TeX Gyre Termes Math" w:eastAsia="Calibri" w:cs="Century Schoolbook L"/>
                <w:b/>
                <w:b/>
                <w:bCs/>
                <w:sz w:val="22"/>
                <w:szCs w:val="22"/>
                <w:u w:val="none"/>
                <w:lang w:val="cs-CZ" w:eastAsia="ru-RU"/>
              </w:rPr>
            </w:pPr>
            <w:r>
              <w:rPr>
                <w:rFonts w:eastAsia="Calibri" w:cs="Century Schoolbook L" w:ascii="TeX Gyre Termes Math" w:hAnsi="TeX Gyre Termes Math"/>
                <w:b/>
                <w:bCs/>
                <w:sz w:val="22"/>
                <w:szCs w:val="22"/>
                <w:u w:val="none"/>
                <w:lang w:val="cs-CZ" w:eastAsia="ru-RU"/>
              </w:rPr>
              <w:t xml:space="preserve">Electron temperature measurements using rail probe on the tokamak GOLEM </w:t>
            </w:r>
            <w:r>
              <w:rPr>
                <w:rFonts w:eastAsia="Calibri" w:cs="Century Schoolbook L" w:ascii="TeX Gyre Termes Math" w:hAnsi="TeX Gyre Termes Math"/>
                <w:b w:val="false"/>
                <w:bCs w:val="false"/>
                <w:sz w:val="22"/>
                <w:szCs w:val="22"/>
                <w:u w:val="none"/>
                <w:lang w:val="cs-CZ" w:eastAsia="ru-RU"/>
              </w:rPr>
              <w:t>[Jirch] (in czech)</w:t>
            </w:r>
          </w:p>
          <w:p>
            <w:pPr>
              <w:pStyle w:val="Normal"/>
              <w:spacing w:before="0" w:after="0"/>
              <w:rPr>
                <w:rFonts w:ascii="TeX Gyre Termes Math" w:hAnsi="TeX Gyre Termes Math" w:eastAsia="Calibri" w:cs="Century Schoolbook L"/>
                <w:b/>
                <w:b/>
                <w:bCs/>
                <w:sz w:val="22"/>
                <w:szCs w:val="22"/>
                <w:u w:val="none"/>
                <w:lang w:val="cs-CZ" w:eastAsia="ru-RU"/>
              </w:rPr>
            </w:pPr>
            <w:r>
              <w:rPr>
                <w:rFonts w:eastAsia="Calibri" w:cs="Century Schoolbook L" w:ascii="TeX Gyre Termes Math" w:hAnsi="TeX Gyre Termes Math"/>
                <w:b/>
                <w:bCs/>
                <w:sz w:val="22"/>
                <w:szCs w:val="22"/>
                <w:u w:val="none"/>
                <w:lang w:val="cs-CZ" w:eastAsia="ru-RU"/>
              </w:rPr>
              <w:t xml:space="preserve">Ion and electron temperature study in the edge plasma of the tokamak device </w:t>
            </w:r>
            <w:r>
              <w:rPr>
                <w:rFonts w:eastAsia="Calibri" w:cs="Century Schoolbook L" w:ascii="TeX Gyre Termes Math" w:hAnsi="TeX Gyre Termes Math"/>
                <w:b w:val="false"/>
                <w:bCs w:val="false"/>
                <w:sz w:val="22"/>
                <w:szCs w:val="22"/>
                <w:u w:val="none"/>
                <w:lang w:val="cs-CZ" w:eastAsia="ru-RU"/>
              </w:rPr>
              <w:t xml:space="preserve"> [Darst].</w:t>
            </w:r>
          </w:p>
          <w:p>
            <w:pPr>
              <w:pStyle w:val="Normal"/>
              <w:spacing w:before="0" w:after="0"/>
              <w:rPr>
                <w:rFonts w:ascii="TeX Gyre Termes Math" w:hAnsi="TeX Gyre Termes Math" w:eastAsia="Calibri" w:cs="Times New Roman"/>
                <w:b w:val="false"/>
                <w:b w:val="false"/>
                <w:bCs/>
                <w:sz w:val="22"/>
                <w:szCs w:val="22"/>
                <w:u w:val="none"/>
                <w:lang w:val="cs-CZ" w:eastAsia="ru-RU"/>
              </w:rPr>
            </w:pPr>
            <w:r>
              <w:rPr>
                <w:rFonts w:eastAsia="Calibri" w:cs="Times New Roman" w:ascii="TeX Gyre Termes Math" w:hAnsi="TeX Gyre Termes Math"/>
                <w:b w:val="false"/>
                <w:bCs/>
                <w:sz w:val="22"/>
                <w:szCs w:val="22"/>
                <w:u w:val="none"/>
                <w:lang w:val="cs-CZ" w:eastAsia="ru-RU"/>
              </w:rPr>
              <w:t>Impact of swept edge plasma potential biasing on turbulence in tokamaks [Papch]</w:t>
            </w:r>
          </w:p>
          <w:p>
            <w:pPr>
              <w:pStyle w:val="Normal"/>
              <w:spacing w:before="0" w:after="0"/>
              <w:rPr>
                <w:rFonts w:ascii="TeX Gyre Termes Math" w:hAnsi="TeX Gyre Termes Math"/>
                <w:sz w:val="22"/>
                <w:szCs w:val="22"/>
              </w:rPr>
            </w:pPr>
            <w:r>
              <w:rPr>
                <w:rFonts w:ascii="TeX Gyre Termes Math" w:hAnsi="TeX Gyre Termes Math"/>
                <w:sz w:val="22"/>
                <w:szCs w:val="22"/>
              </w:rPr>
            </w:r>
          </w:p>
          <w:p>
            <w:pPr>
              <w:pStyle w:val="Normal"/>
              <w:spacing w:before="0" w:after="0"/>
              <w:rPr>
                <w:rFonts w:ascii="TeX Gyre Termes Math" w:hAnsi="TeX Gyre Termes Math"/>
                <w:sz w:val="22"/>
                <w:szCs w:val="22"/>
              </w:rPr>
            </w:pPr>
            <w:r>
              <w:rPr>
                <w:rFonts w:ascii="TeX Gyre Termes Math" w:hAnsi="TeX Gyre Termes Math"/>
                <w:sz w:val="22"/>
                <w:szCs w:val="22"/>
              </w:rPr>
            </w:r>
          </w:p>
          <w:p>
            <w:pPr>
              <w:pStyle w:val="Normal"/>
              <w:spacing w:before="0" w:after="0"/>
              <w:rPr>
                <w:rFonts w:ascii="TeX Gyre Termes Math" w:hAnsi="TeX Gyre Termes Math"/>
                <w:sz w:val="22"/>
                <w:szCs w:val="22"/>
              </w:rPr>
            </w:pPr>
            <w:r>
              <w:rPr>
                <w:rFonts w:ascii="TeX Gyre Termes Math" w:hAnsi="TeX Gyre Termes Math"/>
                <w:sz w:val="22"/>
                <w:szCs w:val="22"/>
              </w:rPr>
              <w:t>Magnetohydrodynamic studies:</w:t>
            </w:r>
          </w:p>
          <w:p>
            <w:pPr>
              <w:pStyle w:val="Normal"/>
              <w:spacing w:before="0" w:after="0"/>
              <w:rPr>
                <w:rFonts w:ascii="TeX Gyre Termes Math" w:hAnsi="TeX Gyre Termes Math"/>
                <w:sz w:val="22"/>
                <w:szCs w:val="22"/>
              </w:rPr>
            </w:pPr>
            <w:r>
              <w:rPr>
                <w:rFonts w:ascii="TeX Gyre Termes Math" w:hAnsi="TeX Gyre Termes Math"/>
                <w:sz w:val="22"/>
                <w:szCs w:val="22"/>
              </w:rPr>
              <w:t>=====================</w:t>
            </w:r>
          </w:p>
          <w:p>
            <w:pPr>
              <w:pStyle w:val="Normal"/>
              <w:spacing w:before="0" w:after="0"/>
              <w:rPr>
                <w:rFonts w:ascii="TeX Gyre Termes Math" w:hAnsi="TeX Gyre Termes Math" w:cs="TeX Gyre Termes Math"/>
                <w:b/>
                <w:b/>
                <w:bCs/>
                <w:i w:val="false"/>
                <w:i w:val="false"/>
                <w:iCs w:val="false"/>
                <w:sz w:val="22"/>
                <w:szCs w:val="22"/>
                <w:u w:val="none"/>
              </w:rPr>
            </w:pPr>
            <w:r>
              <w:rPr>
                <w:rFonts w:cs="TeX Gyre Termes Math" w:ascii="TeX Gyre Termes Math" w:hAnsi="TeX Gyre Termes Math"/>
                <w:b/>
                <w:bCs/>
                <w:i w:val="false"/>
                <w:iCs w:val="false"/>
                <w:sz w:val="22"/>
                <w:szCs w:val="22"/>
                <w:u w:val="none"/>
              </w:rPr>
              <w:t xml:space="preserve">Magnetic turbulence and long-range correlation studies in the GOLEM tokamak </w:t>
            </w:r>
            <w:r>
              <w:rPr>
                <w:rFonts w:cs="TeX Gyre Termes Math" w:ascii="TeX Gyre Termes Math" w:hAnsi="TeX Gyre Termes Math"/>
                <w:b w:val="false"/>
                <w:bCs w:val="false"/>
                <w:i w:val="false"/>
                <w:iCs w:val="false"/>
                <w:sz w:val="22"/>
                <w:szCs w:val="22"/>
                <w:u w:val="none"/>
              </w:rPr>
              <w:t>[Sar+21a]</w:t>
            </w:r>
          </w:p>
          <w:p>
            <w:pPr>
              <w:pStyle w:val="Normal"/>
              <w:spacing w:before="0" w:after="0"/>
              <w:rPr>
                <w:rFonts w:ascii="TeX Gyre Termes Math" w:hAnsi="TeX Gyre Termes Math" w:cs="TeX Gyre Termes Math"/>
                <w:b w:val="false"/>
                <w:b w:val="false"/>
                <w:bCs w:val="false"/>
                <w:i w:val="false"/>
                <w:i w:val="false"/>
                <w:iCs w:val="false"/>
                <w:sz w:val="22"/>
                <w:szCs w:val="22"/>
                <w:u w:val="none"/>
              </w:rPr>
            </w:pPr>
            <w:r>
              <w:rPr>
                <w:rFonts w:cs="TeX Gyre Termes Math" w:ascii="TeX Gyre Termes Math" w:hAnsi="TeX Gyre Termes Math"/>
                <w:b w:val="false"/>
                <w:bCs w:val="false"/>
                <w:i w:val="false"/>
                <w:iCs w:val="false"/>
                <w:sz w:val="22"/>
                <w:szCs w:val="22"/>
                <w:u w:val="none"/>
              </w:rPr>
            </w:r>
          </w:p>
          <w:p>
            <w:pPr>
              <w:pStyle w:val="Normal"/>
              <w:spacing w:before="0" w:after="0"/>
              <w:rPr>
                <w:rFonts w:ascii="TeX Gyre Termes Math" w:hAnsi="TeX Gyre Termes Math"/>
                <w:b/>
                <w:b/>
                <w:bCs/>
                <w:sz w:val="22"/>
                <w:szCs w:val="22"/>
              </w:rPr>
            </w:pPr>
            <w:r>
              <w:rPr>
                <w:rFonts w:ascii="TeX Gyre Termes Math" w:hAnsi="TeX Gyre Termes Math"/>
                <w:b/>
                <w:bCs/>
                <w:sz w:val="22"/>
                <w:szCs w:val="22"/>
              </w:rPr>
              <w:t>Magnetohydrodynamic Mode Identification for Golem Mirnov Coil Signals Using Singular Value Decomposition and Multichannel Variational Mode Decomposition Method for Analyzing Time–</w:t>
            </w:r>
          </w:p>
          <w:p>
            <w:pPr>
              <w:pStyle w:val="Normal"/>
              <w:spacing w:before="0" w:after="0"/>
              <w:rPr>
                <w:rFonts w:ascii="TeX Gyre Termes Math" w:hAnsi="TeX Gyre Termes Math"/>
                <w:b/>
                <w:b/>
                <w:bCs/>
                <w:sz w:val="22"/>
                <w:szCs w:val="22"/>
              </w:rPr>
            </w:pPr>
            <w:r>
              <w:rPr>
                <w:rFonts w:ascii="TeX Gyre Termes Math" w:hAnsi="TeX Gyre Termes Math"/>
                <w:b/>
                <w:bCs/>
                <w:sz w:val="22"/>
                <w:szCs w:val="22"/>
              </w:rPr>
              <w:t xml:space="preserve">Frequency </w:t>
            </w:r>
            <w:r>
              <w:rPr>
                <w:rFonts w:ascii="TeX Gyre Termes Math" w:hAnsi="TeX Gyre Termes Math"/>
                <w:b w:val="false"/>
                <w:bCs w:val="false"/>
                <w:sz w:val="22"/>
                <w:szCs w:val="22"/>
              </w:rPr>
              <w:t xml:space="preserve"> [CJ22]</w:t>
            </w:r>
          </w:p>
          <w:p>
            <w:pPr>
              <w:pStyle w:val="Normal"/>
              <w:spacing w:lineRule="auto" w:line="240" w:before="0" w:after="0"/>
              <w:ind w:left="0" w:right="0" w:hanging="0"/>
              <w:rPr>
                <w:rFonts w:ascii="TeX Gyre Termes Math" w:hAnsi="TeX Gyre Termes Math"/>
                <w:b w:val="false"/>
                <w:b w:val="false"/>
                <w:bCs w:val="false"/>
                <w:sz w:val="22"/>
                <w:szCs w:val="22"/>
              </w:rPr>
            </w:pPr>
            <w:r>
              <w:rPr>
                <w:rFonts w:ascii="TeX Gyre Termes Math" w:hAnsi="TeX Gyre Termes Math"/>
                <w:b w:val="false"/>
                <w:bCs w:val="false"/>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ind w:left="0" w:right="0" w:hanging="0"/>
              <w:rPr>
                <w:rFonts w:ascii="TeX Gyre Termes Math" w:hAnsi="TeX Gyre Termes Math"/>
                <w:sz w:val="22"/>
                <w:szCs w:val="22"/>
                <w:u w:val="none"/>
              </w:rPr>
            </w:pPr>
            <w:r>
              <w:rPr>
                <w:rFonts w:ascii="TeX Gyre Termes Math" w:hAnsi="TeX Gyre Termes Math"/>
                <w:sz w:val="22"/>
                <w:szCs w:val="22"/>
                <w:u w:val="none"/>
              </w:rPr>
              <w:t>* developing diagnostics for runaway studies. </w:t>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Diagnostics</w:t>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w:t>
            </w:r>
          </w:p>
          <w:p>
            <w:pPr>
              <w:pStyle w:val="Normal"/>
              <w:spacing w:lineRule="auto" w:line="240" w:before="0" w:after="0"/>
              <w:ind w:left="0" w:right="0" w:hanging="0"/>
              <w:rPr>
                <w:rFonts w:ascii="Century Schoolbook L" w:hAnsi="Century Schoolbook L" w:cs="Century Schoolbook L"/>
                <w:b/>
                <w:b/>
                <w:bCs/>
                <w:sz w:val="22"/>
                <w:szCs w:val="22"/>
                <w:u w:val="none"/>
              </w:rPr>
            </w:pPr>
            <w:r>
              <w:rPr>
                <w:rFonts w:cs="Century Schoolbook L" w:ascii="Century Schoolbook L" w:hAnsi="Century Schoolbook L"/>
                <w:b/>
                <w:bCs/>
                <w:sz w:val="22"/>
                <w:szCs w:val="22"/>
                <w:u w:val="none"/>
              </w:rPr>
              <w:t xml:space="preserve">Design and Development of Probe for the Measurements of Runaway Electrons Inside the GOLEM Tokamak Plasma Edge </w:t>
            </w:r>
            <w:r>
              <w:rPr>
                <w:rFonts w:cs="Century Schoolbook L" w:ascii="Century Schoolbook L" w:hAnsi="Century Schoolbook L"/>
                <w:b w:val="false"/>
                <w:bCs w:val="false"/>
                <w:sz w:val="22"/>
                <w:szCs w:val="22"/>
                <w:u w:val="none"/>
              </w:rPr>
              <w:t xml:space="preserve"> [Dhy19] </w:t>
            </w:r>
          </w:p>
          <w:p>
            <w:pPr>
              <w:pStyle w:val="Normal"/>
              <w:spacing w:lineRule="auto" w:line="240" w:before="0" w:after="0"/>
              <w:ind w:left="0" w:right="0" w:hanging="0"/>
              <w:rPr>
                <w:rFonts w:ascii="Century Schoolbook L" w:hAnsi="Century Schoolbook L" w:cs="Century Schoolbook L"/>
                <w:b/>
                <w:b/>
                <w:bCs/>
                <w:sz w:val="20"/>
                <w:szCs w:val="20"/>
                <w:u w:val="none"/>
              </w:rPr>
            </w:pPr>
            <w:r>
              <w:rPr>
                <w:rFonts w:cs="Century Schoolbook L" w:ascii="Century Schoolbook L" w:hAnsi="Century Schoolbook L"/>
                <w:b/>
                <w:bCs/>
                <w:sz w:val="20"/>
                <w:szCs w:val="20"/>
                <w:u w:val="none"/>
              </w:rPr>
              <w:t>Runaway electron diagnostics using silicon strip detector  [Nov+20]</w:t>
            </w:r>
          </w:p>
          <w:p>
            <w:pPr>
              <w:pStyle w:val="Normal"/>
              <w:spacing w:lineRule="auto" w:line="240" w:before="0" w:after="0"/>
              <w:ind w:left="0" w:right="0" w:hanging="0"/>
              <w:rPr>
                <w:rFonts w:ascii="TeX Gyre Termes Math" w:hAnsi="TeX Gyre Termes Math" w:cs="Century Schoolbook L"/>
                <w:b/>
                <w:b/>
                <w:bCs/>
                <w:sz w:val="22"/>
                <w:szCs w:val="22"/>
                <w:u w:val="none"/>
              </w:rPr>
            </w:pPr>
            <w:r>
              <w:rPr>
                <w:rFonts w:cs="Century Schoolbook L" w:ascii="TeX Gyre Termes Math" w:hAnsi="TeX Gyre Termes Math"/>
                <w:b/>
                <w:bCs/>
                <w:sz w:val="22"/>
                <w:szCs w:val="22"/>
                <w:u w:val="none"/>
              </w:rPr>
              <w:t>Runaway electron study at the COMPASS tokamak using the Timepix3-based silicon pixel detector with SPIDR 10 GBps readout.</w:t>
            </w:r>
            <w:r>
              <w:rPr>
                <w:rFonts w:cs="Century Schoolbook L" w:ascii="TeX Gyre Termes Math" w:hAnsi="TeX Gyre Termes Math"/>
                <w:b w:val="false"/>
                <w:bCs w:val="false"/>
                <w:sz w:val="22"/>
                <w:szCs w:val="22"/>
                <w:u w:val="none"/>
              </w:rPr>
              <w:t>[Kul21].</w:t>
            </w:r>
          </w:p>
          <w:p>
            <w:pPr>
              <w:pStyle w:val="Normal"/>
              <w:spacing w:lineRule="auto" w:line="240" w:before="0" w:after="0"/>
              <w:rPr/>
            </w:pPr>
            <w:r>
              <w:rPr>
                <w:sz w:val="20"/>
                <w:szCs w:val="20"/>
              </w:rPr>
              <w:t xml:space="preserve">First Measurement of X-rays Generated by Runaway Electrons in Tokamaks Using a TimePix3 </w:t>
            </w:r>
            <w:r>
              <w:rPr>
                <w:rFonts w:ascii="TeX Gyre Termes Math" w:hAnsi="TeX Gyre Termes Math"/>
                <w:sz w:val="20"/>
                <w:szCs w:val="20"/>
                <w:u w:val="none"/>
              </w:rPr>
              <w:t>Device with 1 mm thick Silicon Sensor [Lin+18]</w:t>
            </w:r>
          </w:p>
          <w:p>
            <w:pPr>
              <w:pStyle w:val="Normal"/>
              <w:spacing w:lineRule="auto" w:line="240" w:before="0" w:after="0"/>
              <w:rPr>
                <w:rFonts w:ascii="TeX Gyre Termes Math" w:hAnsi="TeX Gyre Termes Math"/>
                <w:b/>
                <w:b/>
                <w:bCs/>
                <w:sz w:val="22"/>
                <w:szCs w:val="22"/>
              </w:rPr>
            </w:pPr>
            <w:r>
              <w:rPr>
                <w:rFonts w:ascii="TeX Gyre Termes Math" w:hAnsi="TeX Gyre Termes Math"/>
                <w:b/>
                <w:bCs/>
                <w:sz w:val="22"/>
                <w:szCs w:val="22"/>
                <w:u w:val="none"/>
              </w:rPr>
              <w:t xml:space="preserve">Progress in HXR diagnostics at GOLEM and COMPASS tokamaks </w:t>
            </w:r>
            <w:r>
              <w:rPr>
                <w:rFonts w:ascii="TeX Gyre Termes Math" w:hAnsi="TeX Gyre Termes Math"/>
                <w:b w:val="false"/>
                <w:bCs w:val="false"/>
                <w:i w:val="false"/>
                <w:iCs w:val="false"/>
                <w:sz w:val="22"/>
                <w:szCs w:val="22"/>
                <w:u w:val="none"/>
              </w:rPr>
              <w:t xml:space="preserve"> [Cer+22]</w:t>
            </w:r>
          </w:p>
          <w:p>
            <w:pPr>
              <w:pStyle w:val="Normal"/>
              <w:spacing w:lineRule="auto" w:line="240" w:before="0" w:after="0"/>
              <w:rPr>
                <w:rFonts w:ascii="TeX Gyre Termes Math" w:hAnsi="TeX Gyre Termes Math"/>
                <w:b w:val="false"/>
                <w:b w:val="false"/>
                <w:bCs w:val="false"/>
                <w:sz w:val="22"/>
                <w:szCs w:val="22"/>
              </w:rPr>
            </w:pPr>
            <w:r>
              <w:rPr>
                <w:rFonts w:ascii="TeX Gyre Termes Math" w:hAnsi="TeX Gyre Termes Math"/>
                <w:b/>
                <w:bCs/>
                <w:i w:val="false"/>
                <w:iCs w:val="false"/>
                <w:sz w:val="22"/>
                <w:szCs w:val="22"/>
                <w:u w:val="none"/>
              </w:rPr>
              <w:t xml:space="preserve">Detection of runaway electrons at the COMPASS tokamak using a Timepix3-based semiconductor. Detector </w:t>
            </w:r>
            <w:r>
              <w:rPr>
                <w:rFonts w:ascii="TeX Gyre Termes Math" w:hAnsi="TeX Gyre Termes Math"/>
                <w:b w:val="false"/>
                <w:bCs w:val="false"/>
                <w:i w:val="false"/>
                <w:iCs w:val="false"/>
                <w:sz w:val="22"/>
                <w:szCs w:val="22"/>
                <w:u w:val="none"/>
              </w:rPr>
              <w:t>[Kul+22]</w:t>
            </w:r>
          </w:p>
          <w:p>
            <w:pPr>
              <w:pStyle w:val="Normal"/>
              <w:spacing w:lineRule="auto" w:line="240" w:before="0" w:after="0"/>
              <w:ind w:left="0" w:right="0" w:hanging="0"/>
              <w:rPr>
                <w:rFonts w:ascii="TeX Gyre Termes Math" w:hAnsi="TeX Gyre Termes Math"/>
                <w:sz w:val="22"/>
                <w:szCs w:val="22"/>
                <w:u w:val="none"/>
              </w:rPr>
            </w:pPr>
            <w:r>
              <w:rPr>
                <w:rFonts w:ascii="TeX Gyre Termes Math" w:hAnsi="TeX Gyre Termes Math"/>
                <w:sz w:val="22"/>
                <w:szCs w:val="22"/>
                <w:u w:val="none"/>
              </w:rPr>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Physics</w:t>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w:t>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 xml:space="preserve">Study of Runaway Electrons in GOLEM Tokamak </w:t>
            </w:r>
            <w:r>
              <w:rPr>
                <w:rFonts w:cs="Century Schoolbook L" w:ascii="Century Schoolbook L" w:hAnsi="Century Schoolbook L"/>
                <w:b w:val="false"/>
                <w:bCs w:val="false"/>
                <w:sz w:val="22"/>
                <w:szCs w:val="22"/>
                <w:u w:val="none"/>
              </w:rPr>
              <w:t xml:space="preserve">[Dhy+19] </w:t>
            </w:r>
          </w:p>
          <w:p>
            <w:pPr>
              <w:pStyle w:val="TextBody"/>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The Runaway Electrons Production Dynamics Dependence on the Breakdown Phase of the Tokamak Plasma [Sius+21].</w:t>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r>
          </w:p>
          <w:p>
            <w:pPr>
              <w:pStyle w:val="Normal"/>
              <w:spacing w:lineRule="auto" w:line="240" w:before="0" w:after="0"/>
              <w:ind w:left="0" w:right="0" w:hanging="0"/>
              <w:rPr>
                <w:rFonts w:ascii="TeX Gyre Termes Math" w:hAnsi="TeX Gyre Termes Math"/>
                <w:sz w:val="22"/>
                <w:szCs w:val="22"/>
                <w:u w:val="none"/>
              </w:rPr>
            </w:pPr>
            <w:r>
              <w:rPr>
                <w:rFonts w:ascii="TeX Gyre Termes Math" w:hAnsi="TeX Gyre Termes Math"/>
                <w:sz w:val="22"/>
                <w:szCs w:val="22"/>
                <w:u w:val="none"/>
              </w:rPr>
            </w:r>
          </w:p>
          <w:p>
            <w:pPr>
              <w:pStyle w:val="Normal"/>
              <w:spacing w:lineRule="auto" w:line="240" w:before="0" w:after="0"/>
              <w:ind w:left="0" w:right="0" w:hanging="0"/>
              <w:rPr>
                <w:rFonts w:ascii="TeX Gyre Termes Math" w:hAnsi="TeX Gyre Termes Math"/>
                <w:sz w:val="22"/>
                <w:szCs w:val="22"/>
                <w:u w:val="none"/>
              </w:rPr>
            </w:pPr>
            <w:r>
              <w:rPr>
                <w:rFonts w:ascii="TeX Gyre Termes Math" w:hAnsi="TeX Gyre Termes Math"/>
                <w:sz w:val="22"/>
                <w:szCs w:val="22"/>
                <w:u w:val="none"/>
              </w:rPr>
              <w:t>As extraordinary</w:t>
            </w:r>
          </w:p>
          <w:p>
            <w:pPr>
              <w:pStyle w:val="Normal"/>
              <w:spacing w:lineRule="auto" w:line="240" w:before="0" w:after="0"/>
              <w:ind w:left="0" w:right="0" w:hanging="0"/>
              <w:rPr>
                <w:rFonts w:ascii="TeX Gyre Termes Math" w:hAnsi="TeX Gyre Termes Math"/>
                <w:sz w:val="22"/>
                <w:szCs w:val="22"/>
                <w:u w:val="none"/>
              </w:rPr>
            </w:pPr>
            <w:r>
              <w:rPr>
                <w:rFonts w:ascii="TeX Gyre Termes Math" w:hAnsi="TeX Gyre Termes Math"/>
                <w:b/>
                <w:bCs/>
                <w:sz w:val="22"/>
                <w:szCs w:val="22"/>
                <w:u w:val="none"/>
              </w:rPr>
              <w:t xml:space="preserve">Contribution of joint experiments on small tokamaks in the framework of IAEA coordinated research projects to mainstream fusion research </w:t>
            </w:r>
            <w:r>
              <w:rPr>
                <w:rFonts w:ascii="TeX Gyre Termes Math" w:hAnsi="TeX Gyre Termes Math"/>
                <w:b/>
                <w:bCs/>
                <w:sz w:val="20"/>
                <w:szCs w:val="20"/>
                <w:u w:val="none"/>
              </w:rPr>
              <w:t xml:space="preserve"> </w:t>
            </w:r>
            <w:r>
              <w:rPr>
                <w:rFonts w:ascii="TeX Gyre Termes Math" w:hAnsi="TeX Gyre Termes Math"/>
                <w:sz w:val="20"/>
                <w:szCs w:val="20"/>
                <w:u w:val="none"/>
              </w:rPr>
              <w:t>[GRY+20].</w:t>
            </w:r>
          </w:p>
          <w:p>
            <w:pPr>
              <w:pStyle w:val="Normal"/>
              <w:spacing w:lineRule="auto" w:line="240" w:before="0" w:after="0"/>
              <w:ind w:left="0" w:right="0" w:hanging="0"/>
              <w:rPr>
                <w:rFonts w:ascii="TeX Gyre Termes Math" w:hAnsi="TeX Gyre Termes Math"/>
                <w:sz w:val="22"/>
                <w:szCs w:val="22"/>
                <w:u w:val="none"/>
              </w:rPr>
            </w:pPr>
            <w:r>
              <w:rPr>
                <w:rFonts w:ascii="TeX Gyre Termes Math" w:hAnsi="TeX Gyre Termes Math"/>
                <w:sz w:val="22"/>
                <w:szCs w:val="22"/>
                <w:u w:val="none"/>
              </w:rPr>
              <w:t xml:space="preserve"> </w:t>
            </w:r>
            <w:r>
              <w:rPr>
                <w:rFonts w:ascii="TeX Gyre Termes Math" w:hAnsi="TeX Gyre Termes Math"/>
                <w:sz w:val="22"/>
                <w:szCs w:val="22"/>
                <w:u w:val="none"/>
              </w:rPr>
              <w:t xml:space="preserve">Experiments on GOLEM were dedicated to many pioneering studies in connection with the application of the high temperature superconductors (HTS) magnets: HTS DC and AC tests, HTS switch tests, plasma optimization with HTS coils and required modifications to the discharge scenario to reduce AC losses in HTS coils during current ramp-up, and also characterization of a quench in the HTS coil. </w:t>
            </w:r>
          </w:p>
          <w:p>
            <w:pPr>
              <w:pStyle w:val="Normal"/>
              <w:spacing w:lineRule="auto" w:line="240" w:before="0" w:after="0"/>
              <w:ind w:left="0" w:right="0" w:hanging="0"/>
              <w:rPr>
                <w:rFonts w:ascii="TeX Gyre Termes Math" w:hAnsi="TeX Gyre Termes Math"/>
                <w:sz w:val="22"/>
                <w:szCs w:val="22"/>
                <w:u w:val="none"/>
              </w:rPr>
            </w:pPr>
            <w:r>
              <w:rPr>
                <w:rFonts w:ascii="TeX Gyre Termes Math" w:hAnsi="TeX Gyre Termes Math"/>
                <w:sz w:val="22"/>
                <w:szCs w:val="22"/>
                <w:u w:val="none"/>
              </w:rPr>
            </w:r>
          </w:p>
          <w:p>
            <w:pPr>
              <w:pStyle w:val="Normal"/>
              <w:spacing w:lineRule="auto" w:line="240" w:before="0" w:after="0"/>
              <w:ind w:left="0" w:right="0" w:hanging="0"/>
              <w:rPr>
                <w:rFonts w:ascii="TeX Gyre Termes Math" w:hAnsi="TeX Gyre Termes Math"/>
                <w:sz w:val="22"/>
                <w:szCs w:val="22"/>
                <w:u w:val="none"/>
              </w:rPr>
            </w:pPr>
            <w:r>
              <w:rPr>
                <w:rFonts w:ascii="TeX Gyre Termes Math" w:hAnsi="TeX Gyre Termes Math"/>
                <w:sz w:val="22"/>
                <w:szCs w:val="22"/>
                <w:u w:val="none"/>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How does this support affect your outputs</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List of publications related to the grant.</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TextBody"/>
              <w:spacing w:lineRule="auto" w:line="240" w:before="0" w:after="0"/>
              <w:ind w:left="0" w:right="0" w:hanging="0"/>
              <w:contextualSpacing/>
              <w:rPr>
                <w:rFonts w:ascii="TeX Gyre Termes Math" w:hAnsi="TeX Gyre Termes Math"/>
                <w:sz w:val="22"/>
                <w:szCs w:val="22"/>
              </w:rPr>
            </w:pPr>
            <w:r>
              <w:rPr>
                <w:rFonts w:eastAsia="Calibri" w:cs="Times New Roman" w:ascii="Times New Roman" w:hAnsi="Times New Roman"/>
                <w:b/>
                <w:bCs/>
                <w:sz w:val="24"/>
                <w:szCs w:val="24"/>
                <w:lang w:val="cs-CZ" w:eastAsia="ru-RU"/>
              </w:rPr>
              <w:t>Educational activities</w:t>
            </w:r>
          </w:p>
          <w:p>
            <w:pPr>
              <w:pStyle w:val="TextBody"/>
              <w:spacing w:lineRule="auto" w:line="240" w:before="0" w:after="0"/>
              <w:ind w:left="0" w:right="0" w:hanging="0"/>
              <w:contextualSpacing/>
              <w:rPr>
                <w:rFonts w:ascii="Times New Roman" w:hAnsi="Times New Roman" w:eastAsia="Calibri" w:cs="Times New Roman"/>
                <w:b/>
                <w:b/>
                <w:bCs/>
                <w:sz w:val="24"/>
                <w:szCs w:val="24"/>
                <w:lang w:val="cs-CZ" w:eastAsia="ru-RU"/>
              </w:rPr>
            </w:pPr>
            <w:r>
              <w:rPr>
                <w:rFonts w:eastAsia="Calibri" w:cs="Times New Roman" w:ascii="Times New Roman" w:hAnsi="Times New Roman"/>
                <w:b/>
                <w:bCs/>
                <w:sz w:val="24"/>
                <w:szCs w:val="24"/>
                <w:lang w:val="cs-CZ" w:eastAsia="ru-RU"/>
              </w:rPr>
            </w:r>
          </w:p>
          <w:p>
            <w:pPr>
              <w:pStyle w:val="Normal"/>
              <w:spacing w:before="0" w:after="0"/>
              <w:rPr>
                <w:rFonts w:ascii="Times New Roman" w:hAnsi="Times New Roman" w:eastAsia="Calibri" w:cs="Times New Roman"/>
                <w:b/>
                <w:b/>
                <w:bCs/>
                <w:sz w:val="24"/>
                <w:szCs w:val="24"/>
                <w:u w:val="none"/>
                <w:lang w:val="cs-CZ" w:eastAsia="ru-RU"/>
              </w:rPr>
            </w:pPr>
            <w:r>
              <w:rPr>
                <w:rFonts w:eastAsia="Calibri" w:cs="Times New Roman" w:ascii="Times New Roman" w:hAnsi="Times New Roman"/>
                <w:b/>
                <w:bCs/>
                <w:sz w:val="24"/>
                <w:szCs w:val="24"/>
                <w:u w:val="none"/>
                <w:lang w:val="cs-CZ" w:eastAsia="ru-RU"/>
              </w:rPr>
              <w:t>GOleM TRAIning Course (GOMTRAIC 2019)</w:t>
            </w:r>
          </w:p>
          <w:p>
            <w:pPr>
              <w:pStyle w:val="Normal"/>
              <w:spacing w:before="0" w:after="0"/>
              <w:rPr/>
            </w:pPr>
            <w:r>
              <w:rPr>
                <w:rFonts w:eastAsia="Calibri" w:cs="Times New Roman" w:ascii="Times New Roman" w:hAnsi="Times New Roman"/>
                <w:b w:val="false"/>
                <w:bCs/>
                <w:sz w:val="24"/>
                <w:szCs w:val="24"/>
                <w:u w:val="none"/>
                <w:lang w:val="cs-CZ" w:eastAsia="ru-RU"/>
              </w:rPr>
              <w:t xml:space="preserve">GOleM TRAIning Course </w:t>
            </w:r>
            <w:r>
              <w:rPr>
                <w:rFonts w:eastAsia="Calibri" w:cs="Times New Roman" w:ascii="Times New Roman" w:hAnsi="Times New Roman"/>
                <w:b w:val="false"/>
                <w:bCs w:val="false"/>
                <w:sz w:val="24"/>
                <w:szCs w:val="24"/>
                <w:u w:val="none"/>
                <w:lang w:val="cs-CZ" w:eastAsia="ru-RU"/>
              </w:rPr>
              <w:t>(GOMTRAIC2019)</w:t>
            </w:r>
            <w:r>
              <w:rPr>
                <w:rFonts w:eastAsia="Calibri" w:cs="Times New Roman" w:ascii="Times New Roman" w:hAnsi="Times New Roman"/>
                <w:b w:val="false"/>
                <w:bCs/>
                <w:sz w:val="24"/>
                <w:szCs w:val="24"/>
                <w:u w:val="none"/>
                <w:lang w:val="cs-CZ" w:eastAsia="ru-RU"/>
              </w:rPr>
              <w:t xml:space="preserve"> was held at the faculty of Nuclear Sciences and Physical Engineering in the Czech Technical University in Prague, Czech Republic during March 04-08, 2019. Sixteen students (from undergraduate to doctoral level and ten countries) participated in the course to have hands-on experience of tokamak operation and perform experiments on the GOLEM tokamak. </w:t>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t>EPSs:</w:t>
            </w:r>
          </w:p>
          <w:p>
            <w:pPr>
              <w:pStyle w:val="Normal"/>
              <w:spacing w:lineRule="auto" w:line="240" w:before="0" w:after="0"/>
              <w:rPr>
                <w:b/>
                <w:b/>
                <w:bCs/>
              </w:rPr>
            </w:pPr>
            <w:r>
              <w:rPr>
                <w:rFonts w:eastAsia="Calibri" w:cs="Times New Roman" w:ascii="Times New Roman" w:hAnsi="Times New Roman"/>
                <w:b/>
                <w:bCs/>
                <w:sz w:val="20"/>
                <w:szCs w:val="20"/>
                <w:u w:val="none"/>
                <w:lang w:val="cs-CZ" w:eastAsia="ru-RU"/>
              </w:rPr>
              <w:t>2019: Tokamak GOLEM for fusion education - chapter 10 [Kul19]</w:t>
            </w:r>
          </w:p>
          <w:p>
            <w:pPr>
              <w:pStyle w:val="Normal"/>
              <w:spacing w:lineRule="auto" w:line="240" w:before="0" w:after="0"/>
              <w:rPr>
                <w:b/>
                <w:b/>
                <w:bCs/>
              </w:rPr>
            </w:pPr>
            <w:r>
              <w:rPr>
                <w:rFonts w:eastAsia="Calibri" w:cs="Times New Roman" w:ascii="Times New Roman" w:hAnsi="Times New Roman"/>
                <w:b/>
                <w:bCs/>
                <w:sz w:val="20"/>
                <w:szCs w:val="20"/>
                <w:u w:val="none"/>
                <w:lang w:val="cs-CZ" w:eastAsia="ru-RU"/>
              </w:rPr>
              <w:t>2021: Tokamak GOLEM for fusion education - chapter 12</w:t>
            </w:r>
            <w:r>
              <w:rPr>
                <w:rFonts w:eastAsia="Calibri" w:cs="TeX Gyre Termes Math" w:ascii="TeX Gyre Termes Math" w:hAnsi="TeX Gyre Termes Math"/>
                <w:b/>
                <w:bCs/>
                <w:sz w:val="20"/>
                <w:szCs w:val="20"/>
                <w:u w:val="none"/>
                <w:lang w:val="cs-CZ" w:eastAsia="ru-RU"/>
              </w:rPr>
              <w:t>[Mac21]</w:t>
            </w:r>
          </w:p>
          <w:p>
            <w:pPr>
              <w:pStyle w:val="Normal"/>
              <w:spacing w:lineRule="auto" w:line="240" w:before="0" w:after="0"/>
              <w:rPr>
                <w:i w:val="false"/>
                <w:i w:val="false"/>
                <w:iCs w:val="false"/>
              </w:rPr>
            </w:pPr>
            <w:r>
              <w:rPr>
                <w:rFonts w:eastAsia="Calibri" w:cs="Times New Roman" w:ascii="Times New Roman" w:hAnsi="Times New Roman"/>
                <w:b/>
                <w:bCs/>
                <w:i w:val="false"/>
                <w:iCs w:val="false"/>
                <w:caps w:val="false"/>
                <w:smallCaps w:val="false"/>
                <w:color w:val="212121"/>
                <w:spacing w:val="0"/>
                <w:sz w:val="20"/>
                <w:szCs w:val="20"/>
                <w:u w:val="none"/>
                <w:lang w:val="cs-CZ" w:eastAsia="ru-RU"/>
              </w:rPr>
              <w:t>2022: Tokamak GOLEM for fusion education - chapter 13</w:t>
            </w:r>
            <w:r>
              <w:rPr>
                <w:rFonts w:eastAsia="Calibri" w:cs="Times New Roman" w:ascii="TeX Gyre Termes Math" w:hAnsi="TeX Gyre Termes Math"/>
                <w:b w:val="false"/>
                <w:bCs/>
                <w:i w:val="false"/>
                <w:iCs w:val="false"/>
                <w:caps w:val="false"/>
                <w:smallCaps w:val="false"/>
                <w:color w:val="212121"/>
                <w:spacing w:val="0"/>
                <w:sz w:val="22"/>
                <w:szCs w:val="22"/>
                <w:u w:val="none"/>
                <w:lang w:val="cs-CZ" w:eastAsia="ru-RU"/>
              </w:rPr>
              <w:t>[Mac22a]</w:t>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r>
          </w:p>
          <w:p>
            <w:pPr>
              <w:pStyle w:val="Normal"/>
              <w:spacing w:before="0" w:after="0"/>
              <w:rPr>
                <w:b/>
                <w:b/>
                <w:bCs/>
              </w:rPr>
            </w:pPr>
            <w:r>
              <w:rPr>
                <w:b/>
                <w:bCs/>
              </w:rPr>
              <w:t>Online experimentation at the GOLEM tokamak</w:t>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t xml:space="preserve">The GOLEM tokamak offers students and other interested parties the opportunity to gain “hands-on” experience through online experimentation in the field of plasma physics and controlled thermonuclear fusion in tokamaks. A typical online experiment scenario is outlined. The new web application facilitating safe, easy and efficient online experimentation, including a live, real-time view of the experiment is described in detail. Simple access to the open and extensive database of experimental results is demonstrated. Finally, the wide range of possible experimental topics from past -and applicable to future- online experimentation sessions is reported. More info at [GSS19a, GSS19b] </w:t>
            </w:r>
          </w:p>
          <w:p>
            <w:pPr>
              <w:pStyle w:val="TextBody"/>
              <w:spacing w:lineRule="auto" w:line="240" w:before="0" w:after="0"/>
              <w:ind w:left="0" w:right="0" w:hanging="0"/>
              <w:contextualSpacing/>
              <w:rPr>
                <w:rFonts w:ascii="Times New Roman" w:hAnsi="Times New Roman" w:eastAsia="Calibri" w:cs="Times New Roman"/>
                <w:b/>
                <w:b/>
                <w:bCs/>
                <w:sz w:val="24"/>
                <w:szCs w:val="24"/>
                <w:lang w:val="cs-CZ" w:eastAsia="ru-RU"/>
              </w:rPr>
            </w:pPr>
            <w:r>
              <w:rPr>
                <w:rFonts w:eastAsia="Calibri" w:cs="Times New Roman" w:ascii="Times New Roman" w:hAnsi="Times New Roman"/>
                <w:b/>
                <w:bCs/>
                <w:sz w:val="24"/>
                <w:szCs w:val="24"/>
                <w:lang w:val="cs-CZ" w:eastAsia="ru-RU"/>
              </w:rPr>
            </w:r>
          </w:p>
          <w:p>
            <w:pPr>
              <w:pStyle w:val="Normal"/>
              <w:spacing w:lineRule="auto" w:line="240" w:before="0" w:after="0"/>
              <w:ind w:left="0" w:right="0" w:hanging="0"/>
              <w:rPr>
                <w:rFonts w:ascii="Times New Roman" w:hAnsi="Times New Roman" w:eastAsia="Calibri" w:cs="Times New Roman"/>
                <w:b/>
                <w:b/>
                <w:bCs/>
                <w:sz w:val="24"/>
                <w:szCs w:val="24"/>
                <w:u w:val="none"/>
                <w:lang w:val="cs-CZ" w:eastAsia="ru-RU"/>
              </w:rPr>
            </w:pPr>
            <w:r>
              <w:rPr>
                <w:rFonts w:eastAsia="Calibri" w:cs="Times New Roman" w:ascii="Times New Roman" w:hAnsi="Times New Roman"/>
                <w:b/>
                <w:bCs/>
                <w:sz w:val="24"/>
                <w:szCs w:val="24"/>
                <w:u w:val="none"/>
                <w:lang w:val="cs-CZ" w:eastAsia="ru-RU"/>
              </w:rPr>
              <w:t>Education and training of students</w:t>
            </w:r>
          </w:p>
          <w:p>
            <w:pPr>
              <w:pStyle w:val="Normal"/>
              <w:spacing w:lineRule="auto" w:line="240" w:before="0" w:after="0"/>
              <w:ind w:left="0" w:right="0" w:hanging="0"/>
              <w:rPr>
                <w:rFonts w:ascii="TeX Gyre Termes Math" w:hAnsi="TeX Gyre Termes Math"/>
                <w:sz w:val="22"/>
                <w:szCs w:val="22"/>
              </w:rPr>
            </w:pPr>
            <w:r>
              <w:rPr>
                <w:rFonts w:eastAsia="Calibri" w:cs="Times New Roman" w:ascii="Times New Roman" w:hAnsi="Times New Roman"/>
                <w:b w:val="false"/>
                <w:bCs/>
                <w:sz w:val="24"/>
                <w:szCs w:val="24"/>
                <w:u w:val="none"/>
                <w:lang w:val="cs-CZ" w:eastAsia="ru-RU"/>
              </w:rPr>
              <w:t>* Experiments related to CRP project triggered approx 10 bachelor and master thesis at the Czech Technical University</w:t>
            </w:r>
          </w:p>
          <w:p>
            <w:pPr>
              <w:pStyle w:val="Normal"/>
              <w:spacing w:lineRule="auto" w:line="240" w:before="0" w:after="0"/>
              <w:ind w:left="0" w:right="0" w:hanging="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t>* Hands-on/ on site tokamak GOLEM projects</w:t>
            </w:r>
          </w:p>
          <w:p>
            <w:pPr>
              <w:pStyle w:val="Normal"/>
              <w:spacing w:lineRule="auto" w:line="240" w:before="0" w:after="0"/>
              <w:ind w:left="0" w:right="0" w:hanging="0"/>
              <w:rPr>
                <w:rFonts w:ascii="TeX Gyre Termes Math" w:hAnsi="TeX Gyre Termes Math"/>
                <w:sz w:val="22"/>
                <w:szCs w:val="22"/>
              </w:rPr>
            </w:pPr>
            <w:r>
              <w:rPr>
                <w:rFonts w:eastAsia="Calibri" w:cs="Times New Roman" w:ascii="Times New Roman" w:hAnsi="Times New Roman"/>
                <w:b w:val="false"/>
                <w:bCs/>
                <w:sz w:val="24"/>
                <w:szCs w:val="24"/>
                <w:u w:val="none"/>
                <w:lang w:val="cs-CZ" w:eastAsia="ru-RU"/>
              </w:rPr>
              <w:t>* Approx 6 projects for extremely skilled high school students was completed.</w:t>
            </w:r>
          </w:p>
          <w:p>
            <w:pPr>
              <w:pStyle w:val="Normal"/>
              <w:spacing w:lineRule="auto" w:line="240" w:before="0" w:after="0"/>
              <w:ind w:left="0" w:right="0" w:hanging="0"/>
              <w:rPr>
                <w:rFonts w:ascii="TeX Gyre Termes Math" w:hAnsi="TeX Gyre Termes Math"/>
                <w:sz w:val="22"/>
                <w:szCs w:val="22"/>
              </w:rPr>
            </w:pPr>
            <w:r>
              <w:rPr>
                <w:rFonts w:eastAsia="Calibri" w:cs="Times New Roman" w:ascii="Times New Roman" w:hAnsi="Times New Roman"/>
                <w:b w:val="false"/>
                <w:bCs/>
                <w:sz w:val="24"/>
                <w:szCs w:val="24"/>
                <w:u w:val="none"/>
                <w:lang w:val="cs-CZ" w:eastAsia="ru-RU"/>
              </w:rPr>
              <w:t xml:space="preserve">* More then 30 training courses of students has also been performed remotely, exploiting a unique feature of the GOLEM tokamak, which can be operated via Internet. </w:t>
            </w:r>
          </w:p>
          <w:p>
            <w:pPr>
              <w:pStyle w:val="TextBody"/>
              <w:spacing w:lineRule="auto" w:line="240" w:before="0" w:after="0"/>
              <w:ind w:left="0" w:right="0" w:hanging="0"/>
              <w:contextualSpacing/>
              <w:rPr>
                <w:rFonts w:ascii="Times New Roman" w:hAnsi="Times New Roman" w:eastAsia="Calibri" w:cs="Times New Roman"/>
                <w:b/>
                <w:b/>
                <w:bCs/>
                <w:sz w:val="24"/>
                <w:szCs w:val="24"/>
                <w:lang w:val="cs-CZ" w:eastAsia="ru-RU"/>
              </w:rPr>
            </w:pPr>
            <w:r>
              <w:rPr>
                <w:rFonts w:eastAsia="Calibri" w:cs="Times New Roman" w:ascii="Times New Roman" w:hAnsi="Times New Roman"/>
                <w:b/>
                <w:bCs/>
                <w:sz w:val="24"/>
                <w:szCs w:val="24"/>
                <w:lang w:val="cs-CZ" w:eastAsia="ru-RU"/>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One figure that you think summarizes the advances made with the help of the IAEA grant.</w:t>
            </w:r>
          </w:p>
          <w:p>
            <w:pPr>
              <w:pStyle w:val="ListParagraph"/>
              <w:spacing w:lineRule="auto" w:line="240" w:before="0" w:after="0"/>
              <w:contextualSpacing/>
              <w:rPr>
                <w:rFonts w:ascii="TeX Gyre Termes Math" w:hAnsi="TeX Gyre Termes Math"/>
                <w:sz w:val="22"/>
                <w:szCs w:val="22"/>
              </w:rPr>
            </w:pPr>
            <w:r>
              <w:rPr>
                <w:rFonts w:ascii="TeX Gyre Termes Math" w:hAnsi="TeX Gyre Termes Math"/>
                <w:sz w:val="22"/>
                <w:szCs w:val="22"/>
              </w:rPr>
            </w:r>
          </w:p>
          <w:p>
            <w:pPr>
              <w:pStyle w:val="Normal"/>
              <w:spacing w:before="0" w:after="0"/>
              <w:rPr/>
            </w:pPr>
            <w:r>
              <w:fldChar w:fldCharType="begin">
                <w:ffData>
                  <w:name w:val="__Fieldmark__583_3799824974"/>
                  <w:enabled/>
                  <w:calcOnExit w:val="0"/>
                  <w:textInput/>
                </w:ffData>
              </w:fldChar>
            </w:r>
            <w:r>
              <w:rPr/>
              <w:instrText> FORMTEXT </w:instrText>
            </w:r>
            <w:r>
              <w:rPr/>
            </w:r>
            <w:r>
              <w:rPr/>
              <w:fldChar w:fldCharType="separate"/>
            </w: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2438400" cy="162496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2438400" cy="1624965"/>
                          </a:xfrm>
                          <a:prstGeom prst="rect">
                            <a:avLst/>
                          </a:prstGeom>
                        </pic:spPr>
                      </pic:pic>
                    </a:graphicData>
                  </a:graphic>
                </wp:anchor>
              </w:drawing>
            </w:r>
            <w:r>
              <w:rPr/>
            </w:r>
          </w:p>
          <w:p>
            <w:pPr>
              <w:pStyle w:val="Normal"/>
              <w:spacing w:before="0" w:after="0"/>
              <w:rPr>
                <w:rFonts w:ascii="TeX Gyre Termes Math" w:hAnsi="TeX Gyre Termes Math"/>
                <w:sz w:val="22"/>
                <w:szCs w:val="22"/>
              </w:rPr>
            </w:pPr>
            <w:r>
              <w:rPr>
                <w:rFonts w:ascii="TeX Gyre Termes Math" w:hAnsi="TeX Gyre Termes Math"/>
                <w:sz w:val="22"/>
                <w:szCs w:val="22"/>
              </w:rPr>
            </w:r>
          </w:p>
          <w:p>
            <w:pPr>
              <w:pStyle w:val="Normal"/>
              <w:spacing w:before="0" w:after="0"/>
              <w:rPr>
                <w:rFonts w:ascii="TeX Gyre Termes Math" w:hAnsi="TeX Gyre Termes Math"/>
                <w:b w:val="false"/>
                <w:b w:val="false"/>
                <w:bCs w:val="false"/>
                <w:sz w:val="22"/>
                <w:szCs w:val="22"/>
                <w:u w:val="none"/>
              </w:rPr>
            </w:pPr>
            <w:r>
              <w:rPr>
                <w:rFonts w:ascii="TeX Gyre Termes Math" w:hAnsi="TeX Gyre Termes Math"/>
                <w:b w:val="false"/>
                <w:bCs w:val="false"/>
                <w:sz w:val="22"/>
                <w:szCs w:val="22"/>
                <w:u w:val="none"/>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 </w:t>
            </w:r>
          </w:p>
          <w:p>
            <w:pPr>
              <w:pStyle w:val="Normal"/>
              <w:spacing w:before="0" w:after="0"/>
              <w:ind w:left="720" w:right="0" w:hanging="0"/>
              <w:rPr/>
            </w:pPr>
            <w:bookmarkStart w:id="121" w:name="__Fieldmark__482_2212985382"/>
            <w:bookmarkStart w:id="122" w:name="__Fieldmark__432_6213582861"/>
            <w:bookmarkStart w:id="123" w:name="__Fieldmark__299_37848056261"/>
            <w:bookmarkStart w:id="124" w:name="__Fieldmark__164_580378040"/>
            <w:bookmarkStart w:id="125" w:name="__Fieldmark__482_22129853821"/>
            <w:bookmarkStart w:id="126" w:name="__Fieldmark__493_8254177481"/>
            <w:bookmarkStart w:id="127" w:name="__Fieldmark__432_621358286"/>
            <w:bookmarkStart w:id="128" w:name="__Fieldmark__299_3784805626"/>
            <w:bookmarkStart w:id="129" w:name="__Fieldmark__195_4103967364"/>
            <w:bookmarkStart w:id="130" w:name="__Fieldmark__493_825417748"/>
            <w:bookmarkStart w:id="131" w:name="__Fieldmark__195_41039673641"/>
            <w:r>
              <w:rPr/>
            </w:r>
            <w:r>
              <w:rPr/>
              <w:fldChar w:fldCharType="end"/>
            </w:r>
            <w:bookmarkEnd w:id="121"/>
            <w:bookmarkEnd w:id="122"/>
            <w:bookmarkEnd w:id="123"/>
            <w:bookmarkEnd w:id="124"/>
            <w:bookmarkEnd w:id="125"/>
            <w:bookmarkEnd w:id="126"/>
            <w:bookmarkEnd w:id="127"/>
            <w:bookmarkEnd w:id="128"/>
            <w:bookmarkEnd w:id="129"/>
            <w:bookmarkEnd w:id="130"/>
            <w:bookmarkEnd w:id="131"/>
          </w:p>
        </w:tc>
      </w:tr>
      <w:tr>
        <w:trPr/>
        <w:tc>
          <w:tcPr>
            <w:tcW w:w="9276" w:type="dxa"/>
            <w:tcBorders>
              <w:left w:val="single" w:sz="4" w:space="0" w:color="000000"/>
              <w:bottom w:val="single" w:sz="4" w:space="0" w:color="000000"/>
              <w:right w:val="single" w:sz="4" w:space="0" w:color="000000"/>
            </w:tcBorders>
          </w:tcPr>
          <w:p>
            <w:pPr>
              <w:pStyle w:val="ListParagraph"/>
              <w:numPr>
                <w:ilvl w:val="0"/>
                <w:numId w:val="1"/>
              </w:numPr>
              <w:spacing w:lineRule="auto" w:line="240" w:before="0" w:after="0"/>
              <w:contextualSpacing/>
              <w:rPr>
                <w:rFonts w:ascii="TeX Gyre Termes Math" w:hAnsi="TeX Gyre Termes Math"/>
                <w:sz w:val="22"/>
                <w:szCs w:val="22"/>
              </w:rPr>
            </w:pPr>
            <w:r>
              <w:rPr>
                <w:rFonts w:ascii="TeX Gyre Termes Math" w:hAnsi="TeX Gyre Termes Math"/>
                <w:sz w:val="22"/>
                <w:szCs w:val="22"/>
              </w:rPr>
            </w:r>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contextualSpacing/>
              <w:rPr>
                <w:rFonts w:ascii="TeX Gyre Termes Math" w:hAnsi="TeX Gyre Termes Math"/>
                <w:sz w:val="22"/>
                <w:szCs w:val="22"/>
              </w:rPr>
            </w:pPr>
            <w:r>
              <w:rPr>
                <w:rFonts w:ascii="TeX Gyre Termes Math" w:hAnsi="TeX Gyre Termes Math"/>
                <w:sz w:val="22"/>
                <w:szCs w:val="22"/>
              </w:rPr>
              <w:t>Papers published and dissemination at national and international conferences on work performed under this Project (please enter a web-link or attach copies to this progress report):</w:t>
            </w:r>
          </w:p>
          <w:p>
            <w:pPr>
              <w:pStyle w:val="ListParagraph"/>
              <w:spacing w:lineRule="auto" w:line="240" w:before="0" w:after="0"/>
              <w:contextualSpacing/>
              <w:rPr>
                <w:rFonts w:ascii="TeX Gyre Termes Math" w:hAnsi="TeX Gyre Termes Math" w:eastAsia="Times New Roman" w:cs="Times New Roman"/>
                <w:bCs/>
                <w:sz w:val="22"/>
                <w:szCs w:val="22"/>
              </w:rPr>
            </w:pPr>
            <w:r>
              <w:rPr>
                <w:rFonts w:eastAsia="Times New Roman" w:cs="Times New Roman" w:ascii="TeX Gyre Termes Math" w:hAnsi="TeX Gyre Termes Math"/>
                <w:bCs/>
                <w:sz w:val="22"/>
                <w:szCs w:val="22"/>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t>I:</w:t>
            </w:r>
          </w:p>
          <w:p>
            <w:pPr>
              <w:pStyle w:val="Normal"/>
              <w:spacing w:lineRule="auto" w:line="240" w:before="0" w:after="0"/>
              <w:rPr/>
            </w:pPr>
            <w:r>
              <w:fldChar w:fldCharType="begin"/>
            </w:r>
            <w:r>
              <w:rPr/>
            </w:r>
            <w:r>
              <w:rPr/>
            </w:r>
            <w:r>
              <w:rPr/>
              <w:fldChar w:fldCharType="separate"/>
            </w:r>
            <w:r>
              <w:rPr/>
            </w:r>
            <w:bookmarkStart w:id="132" w:name="__Fieldmark__302_3784805626"/>
            <w:r>
              <w:rPr>
                <w:sz w:val="20"/>
                <w:szCs w:val="20"/>
              </w:rPr>
              <w:t>[Lin+18] V. Linhart et al. “First Measurement of X-rays Generated by Runaway Electrons in Tokamaks Using a TimePix3</w:t>
            </w:r>
            <w:r>
              <w:rPr/>
            </w:r>
            <w:r>
              <w:rPr/>
              <w:fldChar w:fldCharType="end"/>
            </w:r>
            <w:bookmarkEnd w:id="132"/>
          </w:p>
          <w:p>
            <w:pPr>
              <w:pStyle w:val="Normal"/>
              <w:spacing w:lineRule="auto" w:line="240" w:before="0" w:after="0"/>
              <w:rPr>
                <w:sz w:val="20"/>
                <w:szCs w:val="20"/>
              </w:rPr>
            </w:pPr>
            <w:r>
              <w:rPr>
                <w:sz w:val="20"/>
                <w:szCs w:val="20"/>
              </w:rPr>
              <w:t>Device with 1 mm thick Silicon Sensor”. In: 2018 IEEE Nuclear Science Symposium and Medical Imaging Conference</w:t>
            </w:r>
          </w:p>
          <w:p>
            <w:pPr>
              <w:pStyle w:val="Normal"/>
              <w:spacing w:lineRule="auto" w:line="240" w:before="0" w:after="0"/>
              <w:rPr>
                <w:sz w:val="20"/>
                <w:szCs w:val="20"/>
              </w:rPr>
            </w:pPr>
            <w:r>
              <w:rPr>
                <w:sz w:val="20"/>
                <w:szCs w:val="20"/>
              </w:rPr>
              <w:t>Proceedings (NSS/MIC). 2018, pp. 1–9. doi: 10.1109/NSSMIC.2018.8824534.</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[Dhy+19] P. Dhyani et al. “Study of Runaway Electrons in GOLEM Tokamak”. In: Journal of Instrumentation 14.09 (2019),</w:t>
            </w:r>
          </w:p>
          <w:p>
            <w:pPr>
              <w:pStyle w:val="Normal"/>
              <w:spacing w:lineRule="auto" w:line="240" w:before="0" w:after="0"/>
              <w:rPr>
                <w:sz w:val="20"/>
                <w:szCs w:val="20"/>
              </w:rPr>
            </w:pPr>
            <w:r>
              <w:rPr>
                <w:sz w:val="20"/>
                <w:szCs w:val="20"/>
              </w:rPr>
              <w:t>pp. C09029–C09029. doi: 10.1088/1748-0221/14/09/c09029. url: https://doi.org/10.1088%2F1748-0221%2F14%</w:t>
            </w:r>
          </w:p>
          <w:p>
            <w:pPr>
              <w:pStyle w:val="Normal"/>
              <w:spacing w:lineRule="auto" w:line="240" w:before="0" w:after="0"/>
              <w:rPr>
                <w:sz w:val="20"/>
                <w:szCs w:val="20"/>
              </w:rPr>
            </w:pPr>
            <w:r>
              <w:rPr>
                <w:sz w:val="20"/>
                <w:szCs w:val="20"/>
              </w:rPr>
              <w:t>2F09%2Fc09029.</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[Dhy19] Svoboda V. Istokskaia V. Mlynář J. Čeřovský J. Ficker O. Linhart V. Dhyani P. “Design and development of probe for the</w:t>
            </w:r>
          </w:p>
          <w:p>
            <w:pPr>
              <w:pStyle w:val="Normal"/>
              <w:spacing w:lineRule="auto" w:line="240" w:before="0" w:after="0"/>
              <w:rPr>
                <w:sz w:val="20"/>
                <w:szCs w:val="20"/>
              </w:rPr>
            </w:pPr>
            <w:r>
              <w:rPr>
                <w:sz w:val="20"/>
                <w:szCs w:val="20"/>
              </w:rPr>
              <w:t>measurements of runaway electrons inside the golem tokamak plasma edge”. In: vol. 2019-July. Europhysics conference</w:t>
            </w:r>
          </w:p>
          <w:p>
            <w:pPr>
              <w:pStyle w:val="Normal"/>
              <w:spacing w:lineRule="auto" w:line="240" w:before="0" w:after="0"/>
              <w:rPr>
                <w:sz w:val="20"/>
                <w:szCs w:val="20"/>
              </w:rPr>
            </w:pPr>
            <w:r>
              <w:rPr>
                <w:sz w:val="20"/>
                <w:szCs w:val="20"/>
              </w:rPr>
              <w:t>abstracts. 2019, P1.1016. isbn: 979-10-96389-11-7. url: http://ocs.ciemat.es/EPS2019PAP/pdf/P1.1016.pdf.</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[GSS19a] O. Grover, V. Svoboda, and J. Stockel. “Online experimentation at the GOLEM tokamak”. In: 2019 5th Experiment International Conference (exp.at’19). 2019, pp. 220–225. doi: 10 . 1109 / EXPAT . 2019 . 8876482. url: https :</w:t>
            </w:r>
          </w:p>
          <w:p>
            <w:pPr>
              <w:pStyle w:val="Normal"/>
              <w:spacing w:lineRule="auto" w:line="240" w:before="0" w:after="0"/>
              <w:rPr>
                <w:sz w:val="20"/>
                <w:szCs w:val="20"/>
              </w:rPr>
            </w:pPr>
            <w:r>
              <w:rPr>
                <w:sz w:val="20"/>
                <w:szCs w:val="20"/>
              </w:rPr>
              <w:t>//ieeexplore.ieee.org/document/8876482.</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[GSS19b] O. Grover, V. Svoboda, and J. Stockel. “Remote demonstration of the GOLEM tokamak”. In: 2019 5th Experiment International Conference (exp.at’19). 2019, pp. 239–240. doi: 10 . 1109 / EXPAT . 2019 . 8876584. url: https :</w:t>
            </w:r>
          </w:p>
          <w:p>
            <w:pPr>
              <w:pStyle w:val="Normal"/>
              <w:spacing w:lineRule="auto" w:line="240" w:before="0" w:after="0"/>
              <w:rPr>
                <w:sz w:val="20"/>
                <w:szCs w:val="20"/>
              </w:rPr>
            </w:pPr>
            <w:r>
              <w:rPr>
                <w:sz w:val="20"/>
                <w:szCs w:val="20"/>
              </w:rPr>
              <w:t>//ieeexplore.ieee.org/document/8876584.</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[Kul19] Mácha P. Istokskkaia V. Kropáčková D. Papoušek F. Adámek J. Čeřovský J. Ficker O. Grover O. Jiráková K. Stöckel J.</w:t>
            </w:r>
          </w:p>
          <w:p>
            <w:pPr>
              <w:pStyle w:val="Normal"/>
              <w:spacing w:lineRule="auto" w:line="240" w:before="0" w:after="0"/>
              <w:rPr>
                <w:sz w:val="20"/>
                <w:szCs w:val="20"/>
              </w:rPr>
            </w:pPr>
            <w:r>
              <w:rPr>
                <w:sz w:val="20"/>
                <w:szCs w:val="20"/>
              </w:rPr>
              <w:t>Svoboda V. Kulkov S. “Tokamak GOLEM for fusion education - chapter 10”. In: vol. 2019-July. Europhysics conference</w:t>
            </w:r>
          </w:p>
          <w:p>
            <w:pPr>
              <w:pStyle w:val="Normal"/>
              <w:spacing w:lineRule="auto" w:line="240" w:before="0" w:after="0"/>
              <w:rPr>
                <w:sz w:val="20"/>
                <w:szCs w:val="20"/>
              </w:rPr>
            </w:pPr>
            <w:r>
              <w:rPr>
                <w:sz w:val="20"/>
                <w:szCs w:val="20"/>
              </w:rPr>
              <w:t>abstracts. 2019, P1.1068. isbn: 979-10-96389-11-7. url: http://ocs.ciemat.es/EPS2019PAP/pdf/P1.1068.pdf.</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[Svo+19] Vojtech Svoboda et al. “Operational Domain in Hydrogen Plasmas on the GOLEM Tokamak”. In: Journal of Fusion</w:t>
            </w:r>
          </w:p>
          <w:p>
            <w:pPr>
              <w:pStyle w:val="Normal"/>
              <w:spacing w:lineRule="auto" w:line="240" w:before="0" w:after="0"/>
              <w:rPr>
                <w:sz w:val="20"/>
                <w:szCs w:val="20"/>
              </w:rPr>
            </w:pPr>
            <w:r>
              <w:rPr>
                <w:sz w:val="20"/>
                <w:szCs w:val="20"/>
              </w:rPr>
              <w:t>Energy (2019). issn: 1572-9591. doi: https://doi.org/10.1007/s10894-019-00215-7. </w:t>
            </w:r>
            <w:bookmarkStart w:id="133" w:name="__Fieldmark__182_5803780401"/>
            <w:bookmarkEnd w:id="133"/>
          </w:p>
          <w:p>
            <w:pPr>
              <w:pStyle w:val="Normal"/>
              <w:spacing w:lineRule="auto" w:line="240" w:before="0" w:after="0"/>
              <w:rPr>
                <w:rFonts w:ascii="TeX Gyre Termes Math" w:hAnsi="TeX Gyre Termes Math"/>
                <w:b w:val="false"/>
                <w:b w:val="false"/>
                <w:caps w:val="false"/>
                <w:smallCaps w:val="false"/>
                <w:color w:val="212121"/>
                <w:spacing w:val="0"/>
                <w:sz w:val="20"/>
                <w:szCs w:val="20"/>
              </w:rPr>
            </w:pPr>
            <w:r>
              <w:rPr>
                <w:rFonts w:ascii="TeX Gyre Termes Math" w:hAnsi="TeX Gyre Termes Math"/>
                <w:b w:val="false"/>
                <w:caps w:val="false"/>
                <w:smallCaps w:val="false"/>
                <w:color w:val="212121"/>
                <w:spacing w:val="0"/>
                <w:sz w:val="20"/>
                <w:szCs w:val="20"/>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t>II:</w:t>
            </w:r>
          </w:p>
          <w:p>
            <w:pPr>
              <w:pStyle w:val="Normal"/>
              <w:spacing w:lineRule="auto" w:line="240" w:before="0" w:after="0"/>
              <w:rPr>
                <w:sz w:val="20"/>
                <w:szCs w:val="20"/>
              </w:rPr>
            </w:pPr>
            <w:r>
              <w:rPr>
                <w:sz w:val="20"/>
                <w:szCs w:val="20"/>
              </w:rPr>
              <w:t>[Nov+20]</w:t>
            </w:r>
          </w:p>
          <w:p>
            <w:pPr>
              <w:pStyle w:val="Normal"/>
              <w:spacing w:lineRule="auto" w:line="240" w:before="0" w:after="0"/>
              <w:rPr>
                <w:sz w:val="20"/>
                <w:szCs w:val="20"/>
              </w:rPr>
            </w:pPr>
            <w:r>
              <w:rPr>
                <w:sz w:val="20"/>
                <w:szCs w:val="20"/>
              </w:rPr>
              <w:t>L. Novotny et al. “Runaway electron diagnostics using silicon strip detector”. In: Journal of Instrumentation 15.07</w:t>
            </w:r>
          </w:p>
          <w:p>
            <w:pPr>
              <w:pStyle w:val="Normal"/>
              <w:spacing w:lineRule="auto" w:line="240" w:before="0" w:after="0"/>
              <w:rPr>
                <w:rFonts w:ascii="TeX Gyre Termes Math" w:hAnsi="TeX Gyre Termes Math"/>
                <w:b w:val="false"/>
                <w:b w:val="false"/>
                <w:caps w:val="false"/>
                <w:smallCaps w:val="false"/>
                <w:color w:val="212121"/>
                <w:spacing w:val="0"/>
                <w:sz w:val="20"/>
                <w:szCs w:val="20"/>
              </w:rPr>
            </w:pPr>
            <w:r>
              <w:rPr>
                <w:rFonts w:ascii="TeX Gyre Termes Math" w:hAnsi="TeX Gyre Termes Math"/>
                <w:b w:val="false"/>
                <w:caps w:val="false"/>
                <w:smallCaps w:val="false"/>
                <w:color w:val="212121"/>
                <w:spacing w:val="0"/>
                <w:sz w:val="20"/>
                <w:szCs w:val="20"/>
              </w:rPr>
              <w:t>(2020), pp. C07015–C07015. doi: 10.1088/1748-0221/15/07/c07015. url: https://doi.org/10.1088%2F17480221%2F15%2F07%2Fc07015.</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t>III:</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[Sius+21]</w:t>
            </w:r>
          </w:p>
          <w:p>
            <w:pPr>
              <w:pStyle w:val="Normal"/>
              <w:spacing w:lineRule="auto" w:line="240" w:before="0" w:after="0"/>
              <w:rPr/>
            </w:pPr>
            <w:r>
              <w:rPr>
                <w:rFonts w:ascii="TeX Gyre Termes Math" w:hAnsi="TeX Gyre Termes Math"/>
                <w:sz w:val="22"/>
                <w:szCs w:val="22"/>
              </w:rPr>
              <w:t xml:space="preserve">Siusko, Y., Svoboda, V., Stockel, J., Garkusha, I., Solyakov, D., Girka, I., . . . Shchibrya, A. . Breakdown phase in the golem tokamak and its impact on plasma performance. </w:t>
            </w:r>
            <w:r>
              <w:rPr>
                <w:rFonts w:ascii="TeX Gyre Termes Math" w:hAnsi="TeX Gyre Termes Math"/>
                <w:i/>
                <w:iCs/>
                <w:sz w:val="22"/>
                <w:szCs w:val="22"/>
              </w:rPr>
              <w:t>Ukrainian Journal of Physics</w:t>
            </w:r>
            <w:r>
              <w:rPr>
                <w:rFonts w:ascii="TeX Gyre Termes Math" w:hAnsi="TeX Gyre Termes Math"/>
                <w:sz w:val="22"/>
                <w:szCs w:val="22"/>
              </w:rPr>
              <w:t>, 66(3), 231-239 (2021). doi:10.15407/ujpe66.3.231</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[Kul21] Kulkov, S., Marcisovsky, M., Svihra, P., Ficker, O., Cerovsky, J., Macusova, E., Weinzettl, V., Beuzekom, M., Fransen, M. , Bren, D. , Linhart, V., , Svoboda, V., Tunkl, M. “Runaway electron study at the COMPASS tokamak using the Timepix3-based silicon pixel detector with SPIDR 10 GBps readout”. In: vol. 2021-July. Europhysics conference abstracts. 2021, P3.1006. isbn: 979-10-96389-13-1. url: http://ocs.ciemat.es/EPS2021PAP/pdf/P3.1006.pdf.</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[Mac21] Macha,P.,Hromasova, K., Kropackova,D., Lauerova, M., Socha, A., Malinak, J., Cipciar, D., Cecrdle, J., Svoboda, V., Stockel, J., Adamek, J., Papousek, F., Lobko, L. “Tokamak GOLEM for fusion education - chapter 12”. In: vol. 2021-July. Europhysics conference abstracts. 2021, P4.1028. isbn: 979-10-96389-13-1. url: http://ocs.ciemat. es/EPS2021PAP/pdf/P4.1028.pdf.</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pPr>
            <w:r>
              <w:rPr>
                <w:rFonts w:ascii="TeX Gyre Termes Math" w:hAnsi="TeX Gyre Termes Math"/>
                <w:sz w:val="22"/>
                <w:szCs w:val="22"/>
              </w:rPr>
              <w:t xml:space="preserve">[Jirch] Jiri Malinak. “Electron temperature measurements using rail probe on the tokamak GOLEM.” Bachelor project at the CTU Prague, 2021. url: </w:t>
            </w:r>
            <w:hyperlink r:id="rId5">
              <w:r>
                <w:rPr>
                  <w:rStyle w:val="InternetLink"/>
                  <w:rFonts w:ascii="TeX Gyre Termes Math" w:hAnsi="TeX Gyre Termes Math"/>
                  <w:sz w:val="22"/>
                  <w:szCs w:val="22"/>
                </w:rPr>
                <w:t>http://golem.fjfi.cvut.cz/wiki/Presentations/Students/BachelorProjects/21MalinakJiri.pdf</w:t>
              </w:r>
            </w:hyperlink>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[Darst] Dario Cipciar. “Ion and electron temperature study in the edge plasma of the tokamak device”. Master thesis at the CTU Prague, 2021. url: http://golem.fjfi.cvut.cz/wiki/Presentations/Students/MasterThesis/21DarioCipciar.pdf</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[Saranch+21]</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t xml:space="preserve">George Sarancha, Alexey Drozd, Stanislav Ganin, Daniela Kropachkova, Ivan Kudashev, Vladimir Kulagin, Martina Lauerova, Alexander Melnikov, Nikita Sergeev, Oleg Krokhalev, Jan Stockel and Vojtech Svoboda. Hydrogen and Helium Plasmas in the GOLEM Tokamak. Prepared for publication in </w:t>
            </w:r>
            <w:r>
              <w:rPr>
                <w:rFonts w:ascii="TeX Gyre Termes Math" w:hAnsi="TeX Gyre Termes Math"/>
                <w:b w:val="false"/>
                <w:i/>
                <w:iCs/>
                <w:caps w:val="false"/>
                <w:smallCaps w:val="false"/>
                <w:color w:val="212121"/>
                <w:spacing w:val="0"/>
                <w:sz w:val="22"/>
                <w:szCs w:val="22"/>
              </w:rPr>
              <w:t>Questions of Atomic Science and Technique.</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t>IV:</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Articles:</w:t>
            </w:r>
          </w:p>
          <w:p>
            <w:pPr>
              <w:pStyle w:val="Normal"/>
              <w:spacing w:lineRule="auto" w:line="240" w:before="0" w:after="0"/>
              <w:rPr/>
            </w:pPr>
            <w:r>
              <w:rPr>
                <w:rFonts w:ascii="TeX Gyre Termes Math" w:hAnsi="TeX Gyre Termes Math"/>
                <w:b w:val="false"/>
                <w:i w:val="false"/>
                <w:iCs w:val="false"/>
                <w:caps w:val="false"/>
                <w:smallCaps w:val="false"/>
                <w:color w:val="212121"/>
                <w:spacing w:val="0"/>
                <w:sz w:val="22"/>
                <w:szCs w:val="22"/>
              </w:rPr>
              <w:t xml:space="preserve">[Cer+22] J. Cerovsky et al. “Progress in HXR diagnostics at GOLEM and COMPASS tokamaks”. In: </w:t>
            </w:r>
            <w:r>
              <w:rPr>
                <w:rFonts w:ascii="TeX Gyre Termes Math" w:hAnsi="TeX Gyre Termes Math"/>
                <w:b w:val="false"/>
                <w:i/>
                <w:iCs/>
                <w:caps w:val="false"/>
                <w:smallCaps w:val="false"/>
                <w:color w:val="212121"/>
                <w:spacing w:val="0"/>
                <w:sz w:val="22"/>
                <w:szCs w:val="22"/>
              </w:rPr>
              <w:t>Journal of Instrumentation</w:t>
            </w:r>
            <w:r>
              <w:rPr>
                <w:rFonts w:ascii="TeX Gyre Termes Math" w:hAnsi="TeX Gyre Termes Math"/>
                <w:b w:val="false"/>
                <w:i w:val="false"/>
                <w:iCs w:val="false"/>
                <w:caps w:val="false"/>
                <w:smallCaps w:val="false"/>
                <w:color w:val="212121"/>
                <w:spacing w:val="0"/>
                <w:sz w:val="22"/>
                <w:szCs w:val="22"/>
              </w:rPr>
              <w:t xml:space="preserve">. 17.01 (2022), p. C01033. doi: 10 . 1088 / 1748 - 0221 / 17 / 01 / c01033. </w:t>
            </w:r>
          </w:p>
          <w:p>
            <w:pPr>
              <w:pStyle w:val="Normal"/>
              <w:spacing w:lineRule="auto" w:line="240" w:before="0" w:after="0"/>
              <w:rPr>
                <w:i w:val="false"/>
                <w:i w:val="false"/>
                <w:iCs w:val="false"/>
              </w:rPr>
            </w:pPr>
            <w:r>
              <w:rPr>
                <w:i w:val="false"/>
                <w:iCs w:val="false"/>
              </w:rPr>
            </w:r>
          </w:p>
          <w:p>
            <w:pPr>
              <w:pStyle w:val="Normal"/>
              <w:spacing w:lineRule="auto" w:line="240" w:before="0" w:after="0"/>
              <w:rPr/>
            </w:pPr>
            <w:r>
              <w:rPr>
                <w:rFonts w:ascii="TeX Gyre Termes Math" w:hAnsi="TeX Gyre Termes Math"/>
                <w:b w:val="false"/>
                <w:i w:val="false"/>
                <w:iCs w:val="false"/>
                <w:caps w:val="false"/>
                <w:smallCaps w:val="false"/>
                <w:color w:val="212121"/>
                <w:spacing w:val="0"/>
                <w:sz w:val="22"/>
                <w:szCs w:val="22"/>
              </w:rPr>
              <w:t xml:space="preserve">[Kul+22] S. Kulkov et al. “Detection of runaway electrons at the COMPASS tokamak using a Timepix3-based semiconductor. detector”. In: </w:t>
            </w:r>
            <w:r>
              <w:rPr>
                <w:rFonts w:ascii="TeX Gyre Termes Math" w:hAnsi="TeX Gyre Termes Math"/>
                <w:b w:val="false"/>
                <w:i/>
                <w:iCs/>
                <w:caps w:val="false"/>
                <w:smallCaps w:val="false"/>
                <w:color w:val="212121"/>
                <w:spacing w:val="0"/>
                <w:sz w:val="22"/>
                <w:szCs w:val="22"/>
              </w:rPr>
              <w:t>Journal of Instrumentation</w:t>
            </w:r>
            <w:r>
              <w:rPr>
                <w:rFonts w:ascii="TeX Gyre Termes Math" w:hAnsi="TeX Gyre Termes Math"/>
                <w:b w:val="false"/>
                <w:i w:val="false"/>
                <w:iCs w:val="false"/>
                <w:caps w:val="false"/>
                <w:smallCaps w:val="false"/>
                <w:color w:val="212121"/>
                <w:spacing w:val="0"/>
                <w:sz w:val="22"/>
                <w:szCs w:val="22"/>
              </w:rPr>
              <w:t xml:space="preserve"> 17.02 (2022), P02030. doi: 10 . 1088 / 1748 - 0221 / 17 / 02 / p02030.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Conferences:</w:t>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[Mac22a] Macha, P., M. Pokorny, D. Kropackova, M.Humpolec, J. Chlum, K. Wen, M. Tunkl, M. Lauerova, J. Brotankova, J.</w:t>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 xml:space="preserve">Stockel, V. Svoboda, S. Kulkov, A. PodolnikJ. Caloud, S. Malec. “Tokamak GOLEM for fusion education – chapter 13”. In: vol. 2022-July. Europhysics conference abstracts. 2022.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 xml:space="preserve">[Mac22b] Macha,P., Svoboda, V., Stockel, J., Adamek, J., Seidl, J. “Self-induced transport barrier in the helium plasma on the tokamak GOLEM”. In: vol. 2022-July. Europhysics conference abstracts. 2022.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 xml:space="preserve">[Sar+21a] G Sarancha et al. “Magnetic turbulence and long-range correlation studies in the GOLEM tokamak” . In: Journal of Physics: Conference Series 2055.1 (2021), p. 012003. doi: 10.1088/1742- 6596/2055/1/012003.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Others:</w:t>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[Jakch] Jakub Chlum. “Implementation of tomographic inversion on the GOLEM tokamak.” Bachelor project 2022. url:</w:t>
            </w:r>
          </w:p>
          <w:p>
            <w:pPr>
              <w:pStyle w:val="Normal"/>
              <w:spacing w:lineRule="auto" w:line="240" w:before="0" w:after="0"/>
              <w:rPr/>
            </w:pPr>
            <w:hyperlink r:id="rId6">
              <w:r>
                <w:rPr>
                  <w:rStyle w:val="InternetLink"/>
                </w:rPr>
                <w:t>http://golem.fjfi.cvut.cz/wiki/Presentations/Students/BachelorProjects/22ChlumJakub.pdf</w:t>
              </w:r>
            </w:hyperlink>
            <w:r>
              <w:rPr>
                <w:rFonts w:ascii="TeX Gyre Termes Math" w:hAnsi="TeX Gyre Termes Math"/>
                <w:b w:val="false"/>
                <w:i w:val="false"/>
                <w:iCs w:val="false"/>
                <w:caps w:val="false"/>
                <w:smallCaps w:val="false"/>
                <w:color w:val="212121"/>
                <w:spacing w:val="0"/>
                <w:sz w:val="22"/>
                <w:szCs w:val="22"/>
              </w:rPr>
              <w:t>.</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[CJ22] Jayakumar Chandrasekaran and Sangeetha Jayaraman. “Magnetohydrodynamic Mode Identification for Golem Mirnov Coil Signals Using Singular Value Decomposition and Multichannel Variational Mode Decomposition Method for Analyzing Time-Frequency”. English. In: JOURNAL OF FUSION ENERGY 41.2 (2022). issn: 0164-0313. doi: 10.1007/s10894-022-00329-5.</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contextualSpacing/>
              <w:rPr>
                <w:sz w:val="20"/>
                <w:szCs w:val="20"/>
              </w:rPr>
            </w:pPr>
            <w:r>
              <w:rPr>
                <w:sz w:val="20"/>
                <w:szCs w:val="20"/>
              </w:rPr>
              <w:t xml:space="preserve">Activities included in the programme of work which were planned, but were not implemented. Please state reason (i.e.: delays, issues encountered): </w:t>
            </w:r>
          </w:p>
          <w:p>
            <w:pPr>
              <w:pStyle w:val="Normal"/>
              <w:spacing w:lineRule="auto" w:line="240" w:before="0" w:after="0"/>
              <w:rPr/>
            </w:pPr>
            <w:r>
              <w:fldChar w:fldCharType="begin">
                <w:ffData>
                  <w:name w:val="__Fieldmark__638_3799824974"/>
                  <w:enabled/>
                  <w:calcOnExit w:val="0"/>
                  <w:textInput/>
                </w:ffData>
              </w:fldChar>
            </w:r>
            <w:r>
              <w:rPr/>
              <w:instrText> FORMTEXT </w:instrText>
            </w:r>
            <w:r>
              <w:rPr/>
            </w:r>
            <w:r>
              <w:rPr/>
              <w:fldChar w:fldCharType="separate"/>
            </w:r>
            <w:r>
              <w:rPr/>
            </w:r>
            <w:bookmarkStart w:id="134" w:name="__Fieldmark__361_3784805626"/>
            <w:bookmarkStart w:id="135" w:name="__Fieldmark__218_4103967364"/>
            <w:bookmarkStart w:id="136" w:name="__Fieldmark__469_6213582861"/>
            <w:bookmarkStart w:id="137" w:name="__Fieldmark__218_41039673641"/>
            <w:bookmarkStart w:id="138" w:name="__Fieldmark__469_621358286"/>
            <w:bookmarkStart w:id="139" w:name="__Fieldmark__541_825417748"/>
            <w:bookmarkStart w:id="140" w:name="__Fieldmark__203_5803780401"/>
            <w:bookmarkStart w:id="141" w:name="__Fieldmark__541_8254177481"/>
            <w:bookmarkStart w:id="142" w:name="__Fieldmark__203_580378040"/>
            <w:bookmarkStart w:id="143" w:name="__Fieldmark__361_37848056261"/>
            <w:bookmarkStart w:id="144" w:name="__Fieldmark__536_2212985382"/>
            <w:bookmarkStart w:id="145" w:name="__Fieldmark__536_22129853821"/>
            <w:r>
              <w:rPr/>
            </w:r>
            <w:r>
              <w:rPr/>
              <w:fldChar w:fldCharType="end"/>
            </w:r>
            <w:bookmarkEnd w:id="134"/>
            <w:bookmarkEnd w:id="135"/>
            <w:bookmarkEnd w:id="136"/>
            <w:bookmarkEnd w:id="137"/>
            <w:bookmarkEnd w:id="138"/>
            <w:bookmarkEnd w:id="139"/>
            <w:bookmarkEnd w:id="140"/>
            <w:bookmarkEnd w:id="141"/>
            <w:bookmarkEnd w:id="142"/>
            <w:bookmarkEnd w:id="143"/>
            <w:bookmarkEnd w:id="144"/>
            <w:bookmarkEnd w:id="145"/>
          </w:p>
          <w:p>
            <w:pPr>
              <w:pStyle w:val="Normal"/>
              <w:spacing w:lineRule="auto" w:line="240" w:before="0" w:after="0"/>
              <w:rPr>
                <w:sz w:val="20"/>
                <w:szCs w:val="20"/>
              </w:rPr>
            </w:pPr>
            <w:r>
              <w:rPr>
                <w:sz w:val="20"/>
                <w:szCs w:val="20"/>
              </w:rPr>
            </w:r>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contextualSpacing/>
              <w:rPr>
                <w:sz w:val="20"/>
                <w:szCs w:val="20"/>
              </w:rPr>
            </w:pPr>
            <w:r>
              <w:rPr>
                <w:sz w:val="20"/>
                <w:szCs w:val="20"/>
              </w:rPr>
              <w:t>Detailed programme of work for the coming year, taking into account the recommendations given during RCMs and/or through communication with the Project Officer (to be used as reference for the next Progress Report):</w:t>
            </w:r>
          </w:p>
          <w:p>
            <w:pPr>
              <w:pStyle w:val="ListParagraph"/>
              <w:spacing w:lineRule="auto" w:line="240" w:before="0" w:after="0"/>
              <w:contextualSpacing/>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spacing w:lineRule="auto" w:line="240" w:before="0" w:after="0"/>
              <w:rPr>
                <w:rFonts w:ascii="Times New Roman" w:hAnsi="Times New Roman" w:eastAsia="Calibri" w:cs="Times New Roman"/>
                <w:b/>
                <w:b/>
                <w:bCs/>
                <w:sz w:val="20"/>
                <w:szCs w:val="20"/>
                <w:lang w:val="cs-CZ" w:eastAsia="ru-RU"/>
              </w:rPr>
            </w:pPr>
            <w:r>
              <w:rPr>
                <w:rFonts w:eastAsia="Calibri" w:cs="Times New Roman" w:ascii="Times New Roman" w:hAnsi="Times New Roman"/>
                <w:b/>
                <w:bCs/>
                <w:sz w:val="20"/>
                <w:szCs w:val="20"/>
                <w:lang w:val="cs-CZ" w:eastAsia="ru-RU"/>
              </w:rPr>
              <w:t>-</w:t>
            </w:r>
          </w:p>
          <w:p>
            <w:pPr>
              <w:pStyle w:val="Normal"/>
              <w:spacing w:lineRule="auto" w:line="240" w:before="0" w:after="0"/>
              <w:rPr>
                <w:sz w:val="20"/>
                <w:szCs w:val="20"/>
              </w:rPr>
            </w:pPr>
            <w:r>
              <w:rPr>
                <w:sz w:val="20"/>
                <w:szCs w:val="20"/>
              </w:rPr>
            </w:r>
          </w:p>
        </w:tc>
      </w:tr>
    </w:tbl>
    <w:p>
      <w:pPr>
        <w:pStyle w:val="Normal"/>
        <w:rPr/>
      </w:pPr>
      <w:r>
        <w:rPr/>
      </w:r>
    </w:p>
    <w:p>
      <w:pPr>
        <w:pStyle w:val="Normal"/>
        <w:rPr/>
      </w:pPr>
      <w:r>
        <w:rPr/>
        <w:t>CSI Name and signature:</w:t>
        <w:tab/>
        <w:tab/>
        <w:tab/>
        <w:tab/>
        <w:tab/>
        <w:tab/>
        <w:t xml:space="preserve">Date: </w:t>
      </w:r>
      <w:r>
        <w:fldChar w:fldCharType="begin">
          <w:ffData>
            <w:name w:val="__Fieldmark__743_3799824974"/>
            <w:enabled/>
            <w:calcOnExit w:val="0"/>
            <w:textInput/>
          </w:ffData>
        </w:fldChar>
      </w:r>
      <w:r>
        <w:rPr/>
        <w:instrText> FORMTEXT </w:instrText>
      </w:r>
      <w:r>
        <w:rPr/>
      </w:r>
      <w:r>
        <w:rPr/>
        <w:fldChar w:fldCharType="separate"/>
      </w:r>
      <w:r>
        <w:rPr/>
        <w:t>18.9.2022     </w:t>
      </w:r>
      <w:bookmarkStart w:id="146" w:name="__Fieldmark__555_6213582861"/>
      <w:bookmarkStart w:id="147" w:name="__Fieldmark__246_580378040"/>
      <w:bookmarkStart w:id="148" w:name="__Fieldmark__427_3784805626"/>
      <w:bookmarkStart w:id="149" w:name="__Fieldmark__634_8254177481"/>
      <w:bookmarkStart w:id="150" w:name="__Fieldmark__605_2212985382"/>
      <w:bookmarkStart w:id="151" w:name="__Fieldmark__555_621358286"/>
      <w:bookmarkStart w:id="152" w:name="__Fieldmark__259_41039673641"/>
      <w:bookmarkStart w:id="153" w:name="__Fieldmark__634_825417748"/>
      <w:bookmarkStart w:id="154" w:name="__Fieldmark__259_4103967364"/>
      <w:bookmarkStart w:id="155" w:name="__Fieldmark__427_37848056261"/>
      <w:bookmarkStart w:id="156" w:name="__Fieldmark__605_22129853821"/>
      <w:bookmarkStart w:id="157" w:name="__Fieldmark__246_5803780401"/>
      <w:r>
        <w:rPr/>
      </w:r>
      <w:r>
        <w:rPr/>
        <w:fldChar w:fldCharType="end"/>
      </w:r>
      <w:bookmarkEnd w:id="146"/>
      <w:bookmarkEnd w:id="147"/>
      <w:bookmarkEnd w:id="148"/>
      <w:bookmarkEnd w:id="149"/>
      <w:bookmarkEnd w:id="150"/>
      <w:bookmarkEnd w:id="151"/>
      <w:bookmarkEnd w:id="152"/>
      <w:bookmarkEnd w:id="153"/>
      <w:bookmarkEnd w:id="154"/>
      <w:bookmarkEnd w:id="155"/>
      <w:bookmarkEnd w:id="156"/>
      <w:bookmarkEnd w:id="157"/>
    </w:p>
    <w:p>
      <w:pPr>
        <w:pStyle w:val="Normal"/>
        <w:widowControl/>
        <w:suppressAutoHyphens w:val="true"/>
        <w:bidi w:val="0"/>
        <w:spacing w:lineRule="auto" w:line="276" w:before="0" w:after="200"/>
        <w:jc w:val="left"/>
        <w:rPr/>
      </w:pPr>
      <w:r>
        <w:fldChar w:fldCharType="begin">
          <w:ffData>
            <w:name w:val="__Fieldmark__785_3799824974"/>
            <w:enabled/>
            <w:calcOnExit w:val="0"/>
            <w:textInput/>
          </w:ffData>
        </w:fldChar>
      </w:r>
      <w:r>
        <w:rPr/>
        <w:instrText> FORMTEXT </w:instrText>
      </w:r>
      <w:r>
        <w:rPr/>
      </w:r>
      <w:r>
        <w:rPr/>
        <w:fldChar w:fldCharType="separate"/>
      </w:r>
      <w:r>
        <w:rPr/>
      </w: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334135" cy="104838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7"/>
                    <a:stretch>
                      <a:fillRect/>
                    </a:stretch>
                  </pic:blipFill>
                  <pic:spPr bwMode="auto">
                    <a:xfrm>
                      <a:off x="0" y="0"/>
                      <a:ext cx="1334135" cy="1048385"/>
                    </a:xfrm>
                    <a:prstGeom prst="rect">
                      <a:avLst/>
                    </a:prstGeom>
                  </pic:spPr>
                </pic:pic>
              </a:graphicData>
            </a:graphic>
          </wp:anchor>
        </w:drawing>
      </w:r>
      <w:r>
        <w:rPr/>
        <w:t> </w:t>
      </w:r>
      <w:r>
        <w:rPr/>
        <w:t>  Vojtěch Svoboda </w:t>
      </w:r>
      <w:bookmarkStart w:id="158" w:name="__Fieldmark__585_6213582861"/>
      <w:bookmarkStart w:id="159" w:name="__Fieldmark__447_37848056261"/>
      <w:bookmarkStart w:id="160" w:name="__Fieldmark__254_5803780401"/>
      <w:bookmarkStart w:id="161" w:name="__Fieldmark__270_41039673641"/>
      <w:bookmarkStart w:id="162" w:name="__Fieldmark__629_22129853821"/>
      <w:bookmarkStart w:id="163" w:name="__Fieldmark__670_8254177481"/>
      <w:bookmarkStart w:id="164" w:name="__Fieldmark__670_825417748"/>
      <w:bookmarkStart w:id="165" w:name="__Fieldmark__254_580378040"/>
      <w:bookmarkStart w:id="166" w:name="__Fieldmark__270_4103967364"/>
      <w:bookmarkStart w:id="167" w:name="__Fieldmark__629_2212985382"/>
      <w:bookmarkStart w:id="168" w:name="__Fieldmark__585_621358286"/>
      <w:bookmarkStart w:id="169" w:name="__Fieldmark__447_3784805626"/>
      <w:r>
        <w:rPr/>
      </w:r>
      <w:r>
        <w:rPr/>
        <w:fldChar w:fldCharType="end"/>
      </w:r>
      <w:bookmarkEnd w:id="158"/>
      <w:bookmarkEnd w:id="159"/>
      <w:bookmarkEnd w:id="160"/>
      <w:bookmarkEnd w:id="161"/>
      <w:bookmarkEnd w:id="162"/>
      <w:bookmarkEnd w:id="163"/>
      <w:bookmarkEnd w:id="164"/>
      <w:bookmarkEnd w:id="165"/>
      <w:bookmarkEnd w:id="166"/>
      <w:bookmarkEnd w:id="167"/>
      <w:bookmarkEnd w:id="168"/>
      <w:bookmarkEnd w:id="169"/>
    </w:p>
    <w:sectPr>
      <w:headerReference w:type="default" r:id="rId8"/>
      <w:type w:val="nextPage"/>
      <w:pgSz w:w="11906" w:h="16838"/>
      <w:pgMar w:left="1440" w:right="144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Liberation Mono">
    <w:altName w:val="Courier New"/>
    <w:charset w:val="01"/>
    <w:family w:val="roman"/>
    <w:pitch w:val="variable"/>
  </w:font>
  <w:font w:name="Times New Roman">
    <w:charset w:val="01"/>
    <w:family w:val="roman"/>
    <w:pitch w:val="variable"/>
  </w:font>
  <w:font w:name="TeX Gyre Termes Math">
    <w:charset w:val="01"/>
    <w:family w:val="roman"/>
    <w:pitch w:val="variable"/>
  </w:font>
  <w:font w:name="Century Schoolbook L">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overflowPunct w:val="true"/>
      <w:textAlignment w:val="baseline"/>
      <w:rPr/>
    </w:pPr>
    <w:r>
      <w:rPr/>
      <w:drawing>
        <wp:inline distT="0" distB="0" distL="0" distR="0">
          <wp:extent cx="2238375" cy="5461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2238375" cy="546100"/>
                  </a:xfrm>
                  <a:prstGeom prst="rect">
                    <a:avLst/>
                  </a:prstGeom>
                </pic:spPr>
              </pic:pic>
            </a:graphicData>
          </a:graphic>
        </wp:inline>
      </w:drawing>
    </w:r>
  </w:p>
  <w:p>
    <w:pPr>
      <w:pStyle w:val="Normal"/>
      <w:spacing w:lineRule="auto" w:line="240" w:before="0" w:after="0"/>
      <w:rPr>
        <w:sz w:val="14"/>
        <w:szCs w:val="14"/>
        <w:lang w:val="fr-FR"/>
      </w:rPr>
    </w:pPr>
    <w:r>
      <w:rPr>
        <w:sz w:val="14"/>
        <w:szCs w:val="14"/>
        <w:lang w:val="fr-FR"/>
      </w:rPr>
      <w:t>Vienna-International Centre, PO Box 100,</w:t>
    </w:r>
  </w:p>
  <w:p>
    <w:pPr>
      <w:pStyle w:val="Normal"/>
      <w:spacing w:lineRule="auto" w:line="240" w:before="0" w:after="0"/>
      <w:rPr>
        <w:sz w:val="14"/>
        <w:szCs w:val="14"/>
        <w:lang w:val="fr-FR"/>
      </w:rPr>
    </w:pPr>
    <w:r>
      <w:rPr>
        <w:sz w:val="14"/>
        <w:szCs w:val="14"/>
        <w:lang w:val="fr-FR"/>
      </w:rPr>
      <w:t>1400 Vienna, Austria</w:t>
    </w:r>
  </w:p>
  <w:p>
    <w:pPr>
      <w:pStyle w:val="Normal"/>
      <w:spacing w:lineRule="auto" w:line="240" w:before="0" w:after="0"/>
      <w:rPr>
        <w:sz w:val="14"/>
        <w:szCs w:val="14"/>
        <w:lang w:val="fr-FR"/>
      </w:rPr>
    </w:pPr>
    <w:r>
      <w:rPr>
        <w:sz w:val="14"/>
        <w:szCs w:val="14"/>
        <w:lang w:val="fr-FR"/>
      </w:rPr>
      <w:t xml:space="preserve">Phone: (+43 1) 2600 – Fax: (+43 1) 26007, </w:t>
    </w:r>
  </w:p>
  <w:p>
    <w:pPr>
      <w:pStyle w:val="Normal"/>
      <w:spacing w:lineRule="auto" w:line="240" w:before="0" w:after="0"/>
      <w:rPr/>
    </w:pPr>
    <w:r>
      <w:rPr>
        <w:sz w:val="14"/>
        <w:szCs w:val="14"/>
        <w:lang w:val="fr-FR"/>
      </w:rPr>
      <w:t xml:space="preserve">Email: </w:t>
    </w:r>
    <w:hyperlink r:id="rId2">
      <w:r>
        <w:rPr>
          <w:rStyle w:val="InternetLink"/>
          <w:sz w:val="14"/>
          <w:szCs w:val="14"/>
          <w:lang w:val="fr-FR"/>
        </w:rPr>
        <w:t>Official.Mail@iaea.org</w:t>
      </w:r>
    </w:hyperlink>
  </w:p>
  <w:p>
    <w:pPr>
      <w:pStyle w:val="Normal"/>
      <w:spacing w:lineRule="auto" w:line="240" w:before="0" w:after="0"/>
      <w:rPr>
        <w:sz w:val="14"/>
        <w:szCs w:val="14"/>
        <w:lang w:val="fr-FR"/>
      </w:rPr>
    </w:pPr>
    <w:r>
      <w:rPr>
        <w:sz w:val="14"/>
        <w:szCs w:val="14"/>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GB"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DejaVu Sans"/>
      <w:color w:val="auto"/>
      <w:kern w:val="0"/>
      <w:sz w:val="22"/>
      <w:szCs w:val="22"/>
      <w:lang w:val="en-GB" w:eastAsia="en-US" w:bidi="ar-SA"/>
    </w:rPr>
  </w:style>
  <w:style w:type="paragraph" w:styleId="Heading4">
    <w:name w:val="Heading 4"/>
    <w:basedOn w:val="TextBody"/>
    <w:qFormat/>
    <w:pPr>
      <w:tabs>
        <w:tab w:val="clear" w:pos="720"/>
        <w:tab w:val="left" w:pos="567" w:leader="none"/>
        <w:tab w:val="left" w:pos="1134" w:leader="none"/>
        <w:tab w:val="left" w:pos="1701" w:leader="underscor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left"/>
      <w:outlineLvl w:val="3"/>
    </w:pPr>
    <w:rPr>
      <w:bCs/>
      <w:i/>
      <w:szCs w:val="28"/>
    </w:rPr>
  </w:style>
  <w:style w:type="character" w:styleId="DefaultParagraphFont">
    <w:name w:val="Default Paragraph Font"/>
    <w:qFormat/>
    <w:rPr/>
  </w:style>
  <w:style w:type="character" w:styleId="ListParagraphChar">
    <w:name w:val="List Paragraph Char"/>
    <w:basedOn w:val="DefaultParagraph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Tahoma" w:hAnsi="Tahoma" w:cs="Tahoma"/>
      <w:sz w:val="16"/>
      <w:szCs w:val="16"/>
    </w:rPr>
  </w:style>
  <w:style w:type="character" w:styleId="InternetLink">
    <w:name w:val="Hyperlink"/>
    <w:basedOn w:val="DefaultParagraphFont"/>
    <w:rPr>
      <w:color w:val="0000FF"/>
      <w:u w:val="single"/>
    </w:rPr>
  </w:style>
  <w:style w:type="character" w:styleId="UnresolvedMention">
    <w:name w:val="Unresolved Mention"/>
    <w:basedOn w:val="DefaultParagraphFont"/>
    <w:qFormat/>
    <w:rPr>
      <w:color w:val="808080"/>
      <w:highlight w:val="white"/>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pacing w:before="0" w:after="200"/>
      <w:ind w:left="720" w:right="0" w:hanging="0"/>
      <w:contextualSpacing/>
    </w:pPr>
    <w:rPr/>
  </w:style>
  <w:style w:type="paragraph" w:styleId="HeaderandFooter">
    <w:name w:val="Header and Footer"/>
    <w:basedOn w:val="Normal"/>
    <w:qFormat/>
    <w:pPr/>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bstract">
    <w:name w:val="Abstract"/>
    <w:qFormat/>
    <w:pPr>
      <w:widowControl/>
      <w:suppressAutoHyphens w:val="true"/>
      <w:overflowPunct w:val="true"/>
      <w:bidi w:val="0"/>
      <w:spacing w:before="0" w:after="454"/>
      <w:ind w:left="1418" w:right="0" w:hanging="0"/>
      <w:jc w:val="both"/>
    </w:pPr>
    <w:rPr>
      <w:rFonts w:ascii="Times;Times New Roman" w:hAnsi="Times;Times New Roman" w:eastAsia="Droid Sans Fallback" w:cs="Times;Times New Roman"/>
      <w:color w:val="000000"/>
      <w:kern w:val="0"/>
      <w:sz w:val="24"/>
      <w:szCs w:val="24"/>
      <w:lang w:val="en-GB" w:eastAsia="zh-CN" w:bidi="hi-IN"/>
    </w:rPr>
  </w:style>
  <w:style w:type="paragraph" w:styleId="Section">
    <w:name w:val="Section"/>
    <w:qFormat/>
    <w:pPr>
      <w:widowControl/>
      <w:tabs>
        <w:tab w:val="clear" w:pos="720"/>
        <w:tab w:val="left" w:pos="0" w:leader="none"/>
      </w:tabs>
      <w:suppressAutoHyphens w:val="true"/>
      <w:overflowPunct w:val="true"/>
      <w:bidi w:val="0"/>
      <w:spacing w:before="240" w:after="0"/>
      <w:jc w:val="left"/>
    </w:pPr>
    <w:rPr>
      <w:rFonts w:ascii="Times;Times New Roman" w:hAnsi="Times;Times New Roman" w:eastAsia="Droid Sans Fallback" w:cs="Times;Times New Roman"/>
      <w:b/>
      <w:iCs/>
      <w:color w:val="000000"/>
      <w:kern w:val="0"/>
      <w:sz w:val="22"/>
      <w:szCs w:val="22"/>
      <w:lang w:val="en-GB" w:eastAsia="zh-CN" w:bidi="hi-IN"/>
    </w:rPr>
  </w:style>
  <w:style w:type="paragraph" w:styleId="Bodytext">
    <w:name w:val="Bodytext"/>
    <w:qFormat/>
    <w:pPr>
      <w:widowControl/>
      <w:suppressAutoHyphens w:val="true"/>
      <w:overflowPunct w:val="true"/>
      <w:bidi w:val="0"/>
      <w:spacing w:before="0" w:after="0"/>
      <w:jc w:val="both"/>
    </w:pPr>
    <w:rPr>
      <w:rFonts w:ascii="Times;Times New Roman" w:hAnsi="Times;Times New Roman" w:eastAsia="Droid Sans Fallback" w:cs="Times;Times New Roman"/>
      <w:iCs/>
      <w:color w:val="000000"/>
      <w:kern w:val="0"/>
      <w:sz w:val="22"/>
      <w:szCs w:val="22"/>
      <w:lang w:val="cs-CZ"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aea.org/services/coordinated-research-activities" TargetMode="External"/><Relationship Id="rId3" Type="http://schemas.openxmlformats.org/officeDocument/2006/relationships/hyperlink" Target="mailto:research.contracts@iaea.org" TargetMode="External"/><Relationship Id="rId4" Type="http://schemas.openxmlformats.org/officeDocument/2006/relationships/image" Target="media/image1.jpeg"/><Relationship Id="rId5" Type="http://schemas.openxmlformats.org/officeDocument/2006/relationships/hyperlink" Target="http://golem.fjfi.cvut.cz/wiki/Presentations/Students/BachelorProjects/21MalinakJiri.pdf" TargetMode="External"/><Relationship Id="rId6" Type="http://schemas.openxmlformats.org/officeDocument/2006/relationships/hyperlink" Target="http://golem.fjfi.cvut.cz/wiki/Presentations/Students/BachelorProjects/22ChlumJakub.pdf" TargetMode="External"/><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fficial.Mail@iaea.org" TargetMode="External"/>
</Relationships>
</file>

<file path=docProps/app.xml><?xml version="1.0" encoding="utf-8"?>
<Properties xmlns="http://schemas.openxmlformats.org/officeDocument/2006/extended-properties" xmlns:vt="http://schemas.openxmlformats.org/officeDocument/2006/docPropsVTypes">
  <Template>Normal.dotm</Template>
  <TotalTime>1141</TotalTime>
  <Application>LibreOffice/6.4.7.2$Linux_X86_64 LibreOffice_project/40$Build-2</Application>
  <Pages>7</Pages>
  <Words>1932</Words>
  <Characters>11799</Characters>
  <CharactersWithSpaces>13632</CharactersWithSpaces>
  <Paragraphs>138</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2018-04-17T09:18:00Z</dcterms:created>
  <dc:creator>COLINET, Nathalie</dc:creator>
  <dc:description/>
  <dc:language>cs-CZ</dc:language>
  <cp:lastModifiedBy/>
  <cp:lastPrinted>2018-04-17T09:19:00Z</cp:lastPrinted>
  <dcterms:modified xsi:type="dcterms:W3CDTF">2022-09-25T19:49:23Z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