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F0" w:rsidRDefault="004037F2" w:rsidP="00EC5D3E">
      <w:pPr>
        <w:ind w:left="-284"/>
        <w:jc w:val="center"/>
        <w:rPr>
          <w:b/>
        </w:rPr>
      </w:pPr>
      <w:r>
        <w:rPr>
          <w:b/>
          <w:lang w:val="en-US"/>
        </w:rPr>
        <w:t>Radiometer report</w:t>
      </w:r>
    </w:p>
    <w:p w:rsidR="00141FB9" w:rsidRPr="00141FB9" w:rsidRDefault="00141FB9" w:rsidP="00141FB9">
      <w:pPr>
        <w:pStyle w:val="a5"/>
        <w:numPr>
          <w:ilvl w:val="0"/>
          <w:numId w:val="1"/>
        </w:numPr>
        <w:rPr>
          <w:b/>
        </w:rPr>
      </w:pPr>
      <w:r>
        <w:rPr>
          <w:b/>
          <w:lang w:val="en-US"/>
        </w:rPr>
        <w:t>Technical aspects</w:t>
      </w:r>
    </w:p>
    <w:p w:rsidR="004C37B1" w:rsidRDefault="004037F2" w:rsidP="00141FB9">
      <w:pPr>
        <w:ind w:left="-284"/>
        <w:jc w:val="both"/>
        <w:rPr>
          <w:lang w:val="en-US"/>
        </w:rPr>
      </w:pPr>
      <w:r>
        <w:rPr>
          <w:lang w:val="en-US"/>
        </w:rPr>
        <w:t xml:space="preserve">The radiometer from COPASS has 16 channels in frequency range 1.5 – 15 GHz with 850 MHz channel width. For now, </w:t>
      </w:r>
      <w:r w:rsidR="00983835">
        <w:rPr>
          <w:lang w:val="en-US"/>
        </w:rPr>
        <w:t xml:space="preserve">12 of these 16 channels are able to make measurement, but 3 of them have problems with the shape of </w:t>
      </w:r>
      <w:r w:rsidR="00983835" w:rsidRPr="00983835">
        <w:rPr>
          <w:lang w:val="en-US"/>
        </w:rPr>
        <w:t>transfer characteristic</w:t>
      </w:r>
      <w:r w:rsidR="00983835">
        <w:rPr>
          <w:lang w:val="en-US"/>
        </w:rPr>
        <w:t xml:space="preserve"> and need to be repaired. Channels 2, 3, 4, 5, 6, 7, 8, 11 can be used in their current condition. The high-end of the radiometer has heterodynes with frequencies 25 GHz and 75 GHz. </w:t>
      </w:r>
    </w:p>
    <w:p w:rsidR="00EC5D3E" w:rsidRDefault="00EC5D3E" w:rsidP="00EC5D3E">
      <w:pPr>
        <w:ind w:left="-284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25E90C" wp14:editId="6E6A5683">
            <wp:extent cx="5791200" cy="311663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06" cy="31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3E" w:rsidRDefault="00EC5D3E" w:rsidP="00EC5D3E">
      <w:pPr>
        <w:ind w:left="-284"/>
        <w:jc w:val="center"/>
        <w:rPr>
          <w:lang w:val="en-US"/>
        </w:rPr>
      </w:pPr>
      <w:r>
        <w:rPr>
          <w:lang w:val="en-US"/>
        </w:rPr>
        <w:t>Fig. 1 Radiometer channels pattern without high frequency part</w:t>
      </w:r>
    </w:p>
    <w:p w:rsidR="00F73048" w:rsidRDefault="00F73048" w:rsidP="00EC5D3E">
      <w:pPr>
        <w:ind w:left="-28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08477" cy="31242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23" cy="31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48" w:rsidRDefault="00F73048" w:rsidP="00F73048">
      <w:pPr>
        <w:ind w:left="-284"/>
        <w:jc w:val="center"/>
        <w:rPr>
          <w:lang w:val="en-US"/>
        </w:rPr>
      </w:pPr>
      <w:r>
        <w:rPr>
          <w:lang w:val="en-US"/>
        </w:rPr>
        <w:t>Fig.</w:t>
      </w:r>
      <w:r>
        <w:rPr>
          <w:lang w:val="en-US"/>
        </w:rPr>
        <w:t xml:space="preserve"> 2</w:t>
      </w:r>
      <w:r>
        <w:rPr>
          <w:lang w:val="en-US"/>
        </w:rPr>
        <w:t xml:space="preserve"> Radiometer channels patte</w:t>
      </w:r>
      <w:r>
        <w:rPr>
          <w:lang w:val="en-US"/>
        </w:rPr>
        <w:t>rn with</w:t>
      </w:r>
      <w:r>
        <w:rPr>
          <w:lang w:val="en-US"/>
        </w:rPr>
        <w:t xml:space="preserve"> high frequency part</w:t>
      </w:r>
    </w:p>
    <w:p w:rsidR="00EC5D3E" w:rsidRDefault="00EC5D3E" w:rsidP="00EC5D3E">
      <w:pPr>
        <w:ind w:left="-284"/>
        <w:jc w:val="center"/>
        <w:rPr>
          <w:lang w:val="en-US"/>
        </w:rPr>
      </w:pPr>
    </w:p>
    <w:p w:rsidR="00141FB9" w:rsidRDefault="00141FB9" w:rsidP="00141FB9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lastRenderedPageBreak/>
        <w:t>Electron temperature profiles measurement estimation</w:t>
      </w:r>
    </w:p>
    <w:p w:rsidR="00141FB9" w:rsidRDefault="00141FB9" w:rsidP="00141FB9">
      <w:pPr>
        <w:pStyle w:val="a5"/>
        <w:ind w:left="76"/>
        <w:jc w:val="both"/>
        <w:rPr>
          <w:lang w:val="en-US"/>
        </w:rPr>
      </w:pPr>
      <w:r>
        <w:rPr>
          <w:lang w:val="en-US"/>
        </w:rPr>
        <w:t>The 25 GHz heterodyne</w:t>
      </w:r>
      <w:r w:rsidRPr="00141FB9">
        <w:rPr>
          <w:lang w:val="en-US"/>
        </w:rPr>
        <w:t xml:space="preserve"> allows to measure electron temperature profile on the 2</w:t>
      </w:r>
      <w:r w:rsidRPr="00141FB9">
        <w:rPr>
          <w:vertAlign w:val="superscript"/>
          <w:lang w:val="en-US"/>
        </w:rPr>
        <w:t>nd</w:t>
      </w:r>
      <w:r w:rsidRPr="00141FB9">
        <w:rPr>
          <w:lang w:val="en-US"/>
        </w:rPr>
        <w:t xml:space="preserve"> ECE harmonic in the radial range from center to 0.9 of minor radius for magnetic field about 0.5 T and electron density not higher than 4.6x10</w:t>
      </w:r>
      <w:r w:rsidRPr="00141FB9">
        <w:rPr>
          <w:vertAlign w:val="superscript"/>
          <w:lang w:val="en-US"/>
        </w:rPr>
        <w:t>18</w:t>
      </w:r>
      <w:r w:rsidRPr="00141FB9">
        <w:rPr>
          <w:lang w:val="en-US"/>
        </w:rPr>
        <w:t xml:space="preserve"> m</w:t>
      </w:r>
      <w:r w:rsidRPr="00141FB9">
        <w:rPr>
          <w:vertAlign w:val="superscript"/>
          <w:lang w:val="en-US"/>
        </w:rPr>
        <w:t>-3</w:t>
      </w:r>
      <w:r w:rsidRPr="00141FB9">
        <w:rPr>
          <w:lang w:val="en-US"/>
        </w:rPr>
        <w:t xml:space="preserve">. </w:t>
      </w:r>
      <w:r>
        <w:rPr>
          <w:lang w:val="en-US"/>
        </w:rPr>
        <w:t xml:space="preserve"> Measurements on 1</w:t>
      </w:r>
      <w:r>
        <w:rPr>
          <w:vertAlign w:val="superscript"/>
          <w:lang w:val="en-US"/>
        </w:rPr>
        <w:t>st</w:t>
      </w:r>
      <w:r w:rsidR="00CC75A2">
        <w:rPr>
          <w:lang w:val="en-US"/>
        </w:rPr>
        <w:t xml:space="preserve"> ECE harmonic are</w:t>
      </w:r>
      <w:r>
        <w:rPr>
          <w:lang w:val="en-US"/>
        </w:rPr>
        <w:t xml:space="preserve"> possible </w:t>
      </w:r>
      <w:r w:rsidR="00CC75A2">
        <w:rPr>
          <w:lang w:val="en-US"/>
        </w:rPr>
        <w:t>without heterodyne only for very low density regimes with bad spatial resolution (about 1-6 points in dependence on magnetic field), but the 2</w:t>
      </w:r>
      <w:r w:rsidR="00CC75A2">
        <w:rPr>
          <w:vertAlign w:val="superscript"/>
          <w:lang w:val="en-US"/>
        </w:rPr>
        <w:t xml:space="preserve">nd </w:t>
      </w:r>
      <w:r w:rsidR="00CC75A2">
        <w:rPr>
          <w:lang w:val="en-US"/>
        </w:rPr>
        <w:t>ECE harmonic measurements look more perspective.</w:t>
      </w:r>
    </w:p>
    <w:p w:rsidR="00CC75A2" w:rsidRDefault="00CC75A2" w:rsidP="00CC75A2">
      <w:pPr>
        <w:jc w:val="both"/>
        <w:rPr>
          <w:lang w:val="en-US"/>
        </w:rPr>
      </w:pPr>
      <w:r>
        <w:rPr>
          <w:lang w:val="en-US"/>
        </w:rPr>
        <w:t xml:space="preserve">The table demonstrates density limits for ECE measurements and recommended </w:t>
      </w:r>
      <w:r w:rsidR="0065417D">
        <w:rPr>
          <w:lang w:val="en-US"/>
        </w:rPr>
        <w:t>heterodyne frequencies for different magnetic field.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5A2" w:rsidTr="00CC75A2"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B, T</w:t>
            </w:r>
          </w:p>
        </w:tc>
        <w:tc>
          <w:tcPr>
            <w:tcW w:w="3190" w:type="dxa"/>
          </w:tcPr>
          <w:p w:rsidR="0065417D" w:rsidRDefault="0065417D" w:rsidP="0065417D">
            <w:pPr>
              <w:ind w:left="-284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e</w:t>
            </w:r>
            <w:proofErr w:type="gram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18</w:t>
            </w:r>
            <w:r>
              <w:rPr>
                <w:lang w:val="en-US"/>
              </w:rPr>
              <w:t xml:space="preserve"> m</w:t>
            </w: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.</w:t>
            </w:r>
          </w:p>
          <w:p w:rsidR="00CC75A2" w:rsidRPr="0065417D" w:rsidRDefault="00CC75A2" w:rsidP="0065417D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Heterodyne frequency, GHz</w:t>
            </w:r>
          </w:p>
        </w:tc>
      </w:tr>
      <w:tr w:rsidR="00CC75A2" w:rsidTr="00CC75A2"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  <w:tc>
          <w:tcPr>
            <w:tcW w:w="3191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CC75A2" w:rsidTr="00CC75A2"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3191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13 - 17</w:t>
            </w:r>
          </w:p>
        </w:tc>
      </w:tr>
      <w:tr w:rsidR="00CC75A2" w:rsidTr="00CC75A2"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3191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6 - 12</w:t>
            </w:r>
          </w:p>
        </w:tc>
      </w:tr>
      <w:tr w:rsidR="00CC75A2" w:rsidTr="00CC75A2"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3190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3191" w:type="dxa"/>
          </w:tcPr>
          <w:p w:rsidR="00CC75A2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0 - 7</w:t>
            </w:r>
          </w:p>
        </w:tc>
      </w:tr>
      <w:tr w:rsidR="0065417D" w:rsidTr="00CC75A2">
        <w:tc>
          <w:tcPr>
            <w:tcW w:w="3190" w:type="dxa"/>
          </w:tcPr>
          <w:p w:rsidR="0065417D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3190" w:type="dxa"/>
          </w:tcPr>
          <w:p w:rsidR="0065417D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3191" w:type="dxa"/>
          </w:tcPr>
          <w:p w:rsidR="0065417D" w:rsidRDefault="0065417D" w:rsidP="00654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0 - 2</w:t>
            </w:r>
          </w:p>
        </w:tc>
      </w:tr>
    </w:tbl>
    <w:p w:rsidR="00CC75A2" w:rsidRPr="00CC75A2" w:rsidRDefault="00CC75A2" w:rsidP="00CC75A2">
      <w:pPr>
        <w:jc w:val="both"/>
        <w:rPr>
          <w:lang w:val="en-US"/>
        </w:rPr>
      </w:pPr>
    </w:p>
    <w:p w:rsidR="00141FB9" w:rsidRPr="00141FB9" w:rsidRDefault="00141FB9" w:rsidP="00141FB9">
      <w:pPr>
        <w:pStyle w:val="a5"/>
        <w:ind w:left="76"/>
        <w:rPr>
          <w:b/>
          <w:lang w:val="en-US"/>
        </w:rPr>
      </w:pPr>
    </w:p>
    <w:p w:rsidR="00EC5D3E" w:rsidRDefault="00141FB9" w:rsidP="00EC5D3E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66F726B9" wp14:editId="32956A57">
            <wp:extent cx="4430486" cy="3323181"/>
            <wp:effectExtent l="0" t="0" r="8255" b="0"/>
            <wp:docPr id="4" name="Рисунок 4" descr="D:\Czech PhD\GOLEM\matlab\X_modeGOLEM_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zech PhD\GOLEM\matlab\X_modeGOLEM_E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19" cy="332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B9" w:rsidRDefault="00141FB9" w:rsidP="00141FB9">
      <w:pPr>
        <w:ind w:left="-284"/>
        <w:jc w:val="center"/>
        <w:rPr>
          <w:lang w:val="en-US"/>
        </w:rPr>
      </w:pPr>
      <w:proofErr w:type="gramStart"/>
      <w:r>
        <w:rPr>
          <w:lang w:val="en-US"/>
        </w:rPr>
        <w:t xml:space="preserve">Fig. </w:t>
      </w:r>
      <w:r>
        <w:rPr>
          <w:lang w:val="en-US"/>
        </w:rPr>
        <w:t>3</w:t>
      </w:r>
      <w:r>
        <w:rPr>
          <w:lang w:val="en-US"/>
        </w:rPr>
        <w:t xml:space="preserve"> Estimation of ECE observation for </w:t>
      </w:r>
      <w:r>
        <w:rPr>
          <w:lang w:val="en-US"/>
        </w:rPr>
        <w:t>2</w:t>
      </w:r>
      <w:r w:rsidRPr="00141FB9">
        <w:rPr>
          <w:vertAlign w:val="superscript"/>
          <w:lang w:val="en-US"/>
        </w:rPr>
        <w:t>nd</w:t>
      </w:r>
      <w:r>
        <w:rPr>
          <w:lang w:val="en-US"/>
        </w:rPr>
        <w:t xml:space="preserve"> harmonic X-mode.</w:t>
      </w:r>
      <w:proofErr w:type="gramEnd"/>
      <w:r>
        <w:rPr>
          <w:lang w:val="en-US"/>
        </w:rPr>
        <w:t xml:space="preserve"> 25 GHz </w:t>
      </w:r>
      <w:proofErr w:type="gramStart"/>
      <w:r>
        <w:rPr>
          <w:lang w:val="en-US"/>
        </w:rPr>
        <w:t>heterodyne ,B</w:t>
      </w:r>
      <w:proofErr w:type="gramEnd"/>
      <w:r>
        <w:rPr>
          <w:lang w:val="en-US"/>
        </w:rPr>
        <w:t xml:space="preserve"> = 0.5 T, n</w:t>
      </w:r>
      <w:r>
        <w:rPr>
          <w:vertAlign w:val="subscript"/>
          <w:lang w:val="en-US"/>
        </w:rPr>
        <w:t>e</w:t>
      </w:r>
      <w:r>
        <w:rPr>
          <w:lang w:val="en-US"/>
        </w:rPr>
        <w:t xml:space="preserve"> = </w:t>
      </w:r>
      <w:r>
        <w:rPr>
          <w:lang w:val="en-US"/>
        </w:rPr>
        <w:t>4.6x10</w:t>
      </w:r>
      <w:r>
        <w:rPr>
          <w:vertAlign w:val="superscript"/>
          <w:lang w:val="en-US"/>
        </w:rPr>
        <w:t>18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-3</w:t>
      </w:r>
      <w:r>
        <w:rPr>
          <w:lang w:val="en-US"/>
        </w:rPr>
        <w:t>.</w:t>
      </w:r>
    </w:p>
    <w:p w:rsidR="00141FB9" w:rsidRDefault="00141FB9" w:rsidP="00141FB9">
      <w:pPr>
        <w:ind w:left="-284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30486" cy="3323181"/>
            <wp:effectExtent l="0" t="0" r="8255" b="0"/>
            <wp:docPr id="6" name="Рисунок 6" descr="D:\Czech PhD\GOLEM\matlab\O_modeGOLEM_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zech PhD\GOLEM\matlab\O_modeGOLEM_E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20" cy="332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B9" w:rsidRDefault="00141FB9" w:rsidP="00141FB9">
      <w:pPr>
        <w:ind w:left="-284"/>
        <w:jc w:val="center"/>
        <w:rPr>
          <w:lang w:val="en-US"/>
        </w:rPr>
      </w:pPr>
      <w:proofErr w:type="gramStart"/>
      <w:r>
        <w:rPr>
          <w:lang w:val="en-US"/>
        </w:rPr>
        <w:t xml:space="preserve">Fig. 3 Estimation of ECE observation for </w:t>
      </w:r>
      <w:r>
        <w:rPr>
          <w:lang w:val="en-US"/>
        </w:rPr>
        <w:t>1</w:t>
      </w:r>
      <w:r w:rsidRPr="00141FB9">
        <w:rPr>
          <w:vertAlign w:val="superscript"/>
          <w:lang w:val="en-US"/>
        </w:rPr>
        <w:t>st</w:t>
      </w:r>
      <w:r>
        <w:rPr>
          <w:lang w:val="en-US"/>
        </w:rPr>
        <w:t xml:space="preserve"> harmonic O</w:t>
      </w:r>
      <w:r>
        <w:rPr>
          <w:lang w:val="en-US"/>
        </w:rPr>
        <w:t>-mode.</w:t>
      </w:r>
      <w:proofErr w:type="gramEnd"/>
      <w:r w:rsidRPr="00141FB9">
        <w:rPr>
          <w:lang w:val="en-US"/>
        </w:rPr>
        <w:t xml:space="preserve"> </w:t>
      </w:r>
      <w:proofErr w:type="gramStart"/>
      <w:r>
        <w:rPr>
          <w:lang w:val="en-US"/>
        </w:rPr>
        <w:t>,B</w:t>
      </w:r>
      <w:proofErr w:type="gramEnd"/>
      <w:r>
        <w:rPr>
          <w:lang w:val="en-US"/>
        </w:rPr>
        <w:t xml:space="preserve"> = 0.5 T, n</w:t>
      </w:r>
      <w:r>
        <w:rPr>
          <w:vertAlign w:val="subscript"/>
          <w:lang w:val="en-US"/>
        </w:rPr>
        <w:t>e</w:t>
      </w:r>
      <w:r>
        <w:rPr>
          <w:lang w:val="en-US"/>
        </w:rPr>
        <w:t xml:space="preserve"> = 4.6x10</w:t>
      </w:r>
      <w:r>
        <w:rPr>
          <w:vertAlign w:val="superscript"/>
          <w:lang w:val="en-US"/>
        </w:rPr>
        <w:t>18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-3</w:t>
      </w:r>
      <w:r>
        <w:rPr>
          <w:lang w:val="en-US"/>
        </w:rPr>
        <w:t>.</w:t>
      </w:r>
    </w:p>
    <w:p w:rsidR="00141FB9" w:rsidRPr="00141FB9" w:rsidRDefault="00141FB9" w:rsidP="00EC5D3E">
      <w:pPr>
        <w:ind w:left="-284"/>
        <w:jc w:val="center"/>
        <w:rPr>
          <w:lang w:val="en-US"/>
        </w:rPr>
      </w:pPr>
    </w:p>
    <w:sectPr w:rsidR="00141FB9" w:rsidRPr="0014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0CEF"/>
    <w:multiLevelType w:val="hybridMultilevel"/>
    <w:tmpl w:val="FBC8B7D2"/>
    <w:lvl w:ilvl="0" w:tplc="EEC484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7C"/>
    <w:rsid w:val="00141FB9"/>
    <w:rsid w:val="0036327C"/>
    <w:rsid w:val="004037F2"/>
    <w:rsid w:val="004C37B1"/>
    <w:rsid w:val="0050660E"/>
    <w:rsid w:val="005733F1"/>
    <w:rsid w:val="00627111"/>
    <w:rsid w:val="0065417D"/>
    <w:rsid w:val="00657583"/>
    <w:rsid w:val="00983835"/>
    <w:rsid w:val="00993B41"/>
    <w:rsid w:val="00CC75A2"/>
    <w:rsid w:val="00EC5D3E"/>
    <w:rsid w:val="00EE401C"/>
    <w:rsid w:val="00EF784D"/>
    <w:rsid w:val="00F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FB9"/>
    <w:pPr>
      <w:ind w:left="720"/>
      <w:contextualSpacing/>
    </w:pPr>
  </w:style>
  <w:style w:type="table" w:styleId="a6">
    <w:name w:val="Table Grid"/>
    <w:basedOn w:val="a1"/>
    <w:uiPriority w:val="59"/>
    <w:rsid w:val="00CC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FB9"/>
    <w:pPr>
      <w:ind w:left="720"/>
      <w:contextualSpacing/>
    </w:pPr>
  </w:style>
  <w:style w:type="table" w:styleId="a6">
    <w:name w:val="Table Grid"/>
    <w:basedOn w:val="a1"/>
    <w:uiPriority w:val="59"/>
    <w:rsid w:val="00CC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Ivanov</dc:creator>
  <cp:keywords/>
  <dc:description/>
  <cp:lastModifiedBy>Vladislav Ivanov</cp:lastModifiedBy>
  <cp:revision>4</cp:revision>
  <dcterms:created xsi:type="dcterms:W3CDTF">2022-03-01T09:07:00Z</dcterms:created>
  <dcterms:modified xsi:type="dcterms:W3CDTF">2022-03-15T15:22:00Z</dcterms:modified>
</cp:coreProperties>
</file>