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EDDEB" w14:textId="7649351A" w:rsidR="00B94FCA" w:rsidRDefault="00FD464E">
      <w:r>
        <w:t xml:space="preserve">During the GOLEM experience, the remote operator is asked to select a number of </w:t>
      </w:r>
      <w:proofErr w:type="gramStart"/>
      <w:r>
        <w:t>parameters</w:t>
      </w:r>
      <w:proofErr w:type="gramEnd"/>
    </w:p>
    <w:p w14:paraId="71871BB5" w14:textId="61B2932D" w:rsidR="00FD464E" w:rsidRDefault="00FD464E">
      <w:pPr>
        <w:rPr>
          <w:rFonts w:eastAsiaTheme="minorEastAsia"/>
        </w:rPr>
      </w:pPr>
      <m:oMath>
        <m:sSub>
          <m:sSubPr>
            <m:ctrlPr>
              <w:rPr>
                <w:rFonts w:ascii="Cambria Math" w:hAnsi="Cambria Math"/>
                <w:i/>
              </w:rPr>
            </m:ctrlPr>
          </m:sSubPr>
          <m:e>
            <m:r>
              <w:rPr>
                <w:rFonts w:ascii="Cambria Math" w:hAnsi="Cambria Math"/>
              </w:rPr>
              <m:t>U</m:t>
            </m:r>
          </m:e>
          <m:sub>
            <m:r>
              <w:rPr>
                <w:rFonts w:ascii="Cambria Math" w:hAnsi="Cambria Math"/>
              </w:rPr>
              <m:t>B</m:t>
            </m:r>
          </m:sub>
        </m:sSub>
      </m:oMath>
      <w:r>
        <w:rPr>
          <w:rFonts w:eastAsiaTheme="minorEastAsia"/>
        </w:rPr>
        <w:t xml:space="preserve"> the charge voltage of the capacitor responsible for creating the toroidal magnetic </w:t>
      </w:r>
      <w:proofErr w:type="gramStart"/>
      <w:r>
        <w:rPr>
          <w:rFonts w:eastAsiaTheme="minorEastAsia"/>
        </w:rPr>
        <w:t>field</w:t>
      </w:r>
      <w:proofErr w:type="gramEnd"/>
    </w:p>
    <w:p w14:paraId="1AC51A17" w14:textId="11887493" w:rsidR="00FD464E" w:rsidRDefault="00FD464E">
      <w:pPr>
        <w:rPr>
          <w:rFonts w:eastAsiaTheme="minorEastAsia"/>
        </w:rPr>
      </w:pPr>
      <m:oMath>
        <m:sSub>
          <m:sSubPr>
            <m:ctrlPr>
              <w:rPr>
                <w:rFonts w:ascii="Cambria Math" w:hAnsi="Cambria Math"/>
                <w:i/>
              </w:rPr>
            </m:ctrlPr>
          </m:sSubPr>
          <m:e>
            <m:r>
              <w:rPr>
                <w:rFonts w:ascii="Cambria Math" w:hAnsi="Cambria Math"/>
              </w:rPr>
              <m:t>U</m:t>
            </m:r>
          </m:e>
          <m:sub>
            <m:r>
              <w:rPr>
                <w:rFonts w:ascii="Cambria Math" w:hAnsi="Cambria Math"/>
              </w:rPr>
              <m:t>CD</m:t>
            </m:r>
          </m:sub>
        </m:sSub>
      </m:oMath>
      <w:r>
        <w:rPr>
          <w:rFonts w:eastAsiaTheme="minorEastAsia"/>
        </w:rPr>
        <w:t xml:space="preserve"> the charge voltage of the capacitor responsible for creating the plasma current and finally the poloidal magnetic </w:t>
      </w:r>
      <w:proofErr w:type="gramStart"/>
      <w:r>
        <w:rPr>
          <w:rFonts w:eastAsiaTheme="minorEastAsia"/>
        </w:rPr>
        <w:t>field</w:t>
      </w:r>
      <w:proofErr w:type="gramEnd"/>
    </w:p>
    <w:p w14:paraId="3AECD6B6" w14:textId="70069C1A" w:rsidR="00FD464E" w:rsidRDefault="00FD464E">
      <w:pPr>
        <w:rPr>
          <w:rFonts w:eastAsiaTheme="minorEastAsia"/>
        </w:rPr>
      </w:pP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del</m:t>
            </m:r>
          </m:sub>
        </m:sSub>
      </m:oMath>
      <w:r>
        <w:rPr>
          <w:rFonts w:eastAsiaTheme="minorEastAsia"/>
        </w:rPr>
        <w:t xml:space="preserve"> the delay between the closure of the toroidal and poloidal-field circuits</w:t>
      </w:r>
    </w:p>
    <w:p w14:paraId="2142334A" w14:textId="7C5FA7EA" w:rsidR="00FD464E" w:rsidRDefault="00FD464E">
      <w:pPr>
        <w:rPr>
          <w:rFonts w:eastAsiaTheme="minorEastAsia"/>
        </w:rPr>
      </w:pPr>
      <m:oMath>
        <m:sSub>
          <m:sSubPr>
            <m:ctrlPr>
              <w:rPr>
                <w:rFonts w:ascii="Cambria Math" w:hAnsi="Cambria Math"/>
                <w:i/>
              </w:rPr>
            </m:ctrlPr>
          </m:sSubPr>
          <m:e>
            <m:r>
              <w:rPr>
                <w:rFonts w:ascii="Cambria Math" w:hAnsi="Cambria Math"/>
              </w:rPr>
              <m:t>p</m:t>
            </m:r>
          </m:e>
          <m:sub>
            <m:r>
              <w:rPr>
                <w:rFonts w:ascii="Cambria Math" w:hAnsi="Cambria Math"/>
              </w:rPr>
              <m:t>w</m:t>
            </m:r>
          </m:sub>
        </m:sSub>
      </m:oMath>
      <w:r>
        <w:rPr>
          <w:rFonts w:eastAsiaTheme="minorEastAsia"/>
        </w:rPr>
        <w:t xml:space="preserve"> the pressure of the working gas introduced in the </w:t>
      </w:r>
      <w:proofErr w:type="gramStart"/>
      <w:r>
        <w:rPr>
          <w:rFonts w:eastAsiaTheme="minorEastAsia"/>
        </w:rPr>
        <w:t>chamber</w:t>
      </w:r>
      <w:proofErr w:type="gramEnd"/>
    </w:p>
    <w:p w14:paraId="7CB9BC82" w14:textId="5D0915CB" w:rsidR="00FD464E" w:rsidRDefault="00FD464E">
      <w:pPr>
        <w:rPr>
          <w:rFonts w:eastAsiaTheme="minorEastAsia"/>
        </w:rPr>
      </w:pPr>
      <w:r>
        <w:rPr>
          <w:rFonts w:eastAsiaTheme="minorEastAsia"/>
        </w:rPr>
        <w:t>Working gas (it can be He or H)</w:t>
      </w:r>
    </w:p>
    <w:p w14:paraId="40960275" w14:textId="70B2205F" w:rsidR="00FD464E" w:rsidRDefault="00FD464E">
      <w:pPr>
        <w:rPr>
          <w:rFonts w:eastAsiaTheme="minorEastAsia"/>
        </w:rPr>
      </w:pPr>
      <w:r>
        <w:rPr>
          <w:rFonts w:eastAsiaTheme="minorEastAsia"/>
        </w:rPr>
        <w:t xml:space="preserve">Pre-ionization (it can be </w:t>
      </w:r>
      <w:r>
        <w:rPr>
          <w:rFonts w:eastAsiaTheme="minorEastAsia"/>
          <w:i/>
          <w:iCs/>
        </w:rPr>
        <w:t>on</w:t>
      </w:r>
      <w:r>
        <w:rPr>
          <w:rFonts w:eastAsiaTheme="minorEastAsia"/>
        </w:rPr>
        <w:t xml:space="preserve"> or </w:t>
      </w:r>
      <w:r>
        <w:rPr>
          <w:rFonts w:eastAsiaTheme="minorEastAsia"/>
          <w:i/>
          <w:iCs/>
        </w:rPr>
        <w:t>off</w:t>
      </w:r>
      <w:r>
        <w:rPr>
          <w:rFonts w:eastAsiaTheme="minorEastAsia"/>
        </w:rPr>
        <w:t>)</w:t>
      </w:r>
    </w:p>
    <w:p w14:paraId="7C90BFB7" w14:textId="5817BC33" w:rsidR="00FD464E" w:rsidRDefault="00FD464E">
      <w:pPr>
        <w:rPr>
          <w:rFonts w:eastAsiaTheme="minorEastAsia"/>
        </w:rPr>
      </w:pPr>
    </w:p>
    <w:p w14:paraId="219BDFF3" w14:textId="5A7EC517" w:rsidR="00FD464E" w:rsidRDefault="00FD464E">
      <w:pPr>
        <w:rPr>
          <w:rFonts w:eastAsiaTheme="minorEastAsia"/>
        </w:rPr>
      </w:pPr>
      <w:r>
        <w:rPr>
          <w:rFonts w:eastAsiaTheme="minorEastAsia"/>
        </w:rPr>
        <w:t xml:space="preserve">During the GOLEM experience students are helped to develop some expertise on how to operate the machine and do some basic data processing. We wish to encourage the students to explore the complete GOLEM shots database to answer the </w:t>
      </w:r>
      <w:proofErr w:type="spellStart"/>
      <w:r>
        <w:rPr>
          <w:rFonts w:eastAsiaTheme="minorEastAsia"/>
        </w:rPr>
        <w:t>some</w:t>
      </w:r>
      <w:proofErr w:type="spellEnd"/>
      <w:r>
        <w:rPr>
          <w:rFonts w:eastAsiaTheme="minorEastAsia"/>
        </w:rPr>
        <w:t xml:space="preserve"> of following questions:</w:t>
      </w:r>
    </w:p>
    <w:p w14:paraId="4C5BFB9D" w14:textId="7FD0A453" w:rsidR="00FD464E" w:rsidRDefault="00FD464E">
      <w:pPr>
        <w:rPr>
          <w:rFonts w:eastAsiaTheme="minorEastAsia"/>
        </w:rPr>
      </w:pPr>
    </w:p>
    <w:p w14:paraId="023D12BF" w14:textId="7CE2942C" w:rsidR="00FD464E" w:rsidRDefault="00FD464E" w:rsidP="00FD464E">
      <w:pPr>
        <w:pStyle w:val="ListParagraph"/>
        <w:numPr>
          <w:ilvl w:val="0"/>
          <w:numId w:val="1"/>
        </w:numPr>
      </w:pPr>
      <w:proofErr w:type="gramStart"/>
      <w:r>
        <w:t>Let’s</w:t>
      </w:r>
      <w:proofErr w:type="gramEnd"/>
      <w:r>
        <w:t xml:space="preserve"> assume the confinement time </w:t>
      </w:r>
      <m:oMath>
        <m:sSub>
          <m:sSubPr>
            <m:ctrlPr>
              <w:rPr>
                <w:rFonts w:ascii="Cambria Math" w:hAnsi="Cambria Math"/>
                <w:i/>
              </w:rPr>
            </m:ctrlPr>
          </m:sSubPr>
          <m:e>
            <m:r>
              <w:rPr>
                <w:rFonts w:ascii="Cambria Math" w:hAnsi="Cambria Math"/>
              </w:rPr>
              <m:t>τ</m:t>
            </m:r>
          </m:e>
          <m:sub>
            <m:r>
              <w:rPr>
                <w:rFonts w:ascii="Cambria Math" w:hAnsi="Cambria Math"/>
              </w:rPr>
              <m:t>E</m:t>
            </m:r>
          </m:sub>
        </m:sSub>
      </m:oMath>
      <w:r>
        <w:rPr>
          <w:rFonts w:eastAsiaTheme="minorEastAsia"/>
        </w:rPr>
        <w:t xml:space="preserve"> </w:t>
      </w:r>
      <w:r>
        <w:t>characterizing a shot can be written as</w:t>
      </w:r>
    </w:p>
    <w:p w14:paraId="1B5B5A77" w14:textId="60639D8F" w:rsidR="00FD464E" w:rsidRPr="00C06E72" w:rsidRDefault="00FD464E" w:rsidP="00FD464E">
      <w:pPr>
        <w:pStyle w:val="ListParagraph"/>
        <w:rPr>
          <w:rFonts w:eastAsiaTheme="minorEastAsia"/>
        </w:rPr>
      </w:pPr>
      <m:oMathPara>
        <m:oMath>
          <m:sSub>
            <m:sSubPr>
              <m:ctrlPr>
                <w:rPr>
                  <w:rFonts w:ascii="Cambria Math" w:hAnsi="Cambria Math"/>
                  <w:i/>
                </w:rPr>
              </m:ctrlPr>
            </m:sSubPr>
            <m:e>
              <m:r>
                <w:rPr>
                  <w:rFonts w:ascii="Cambria Math" w:hAnsi="Cambria Math"/>
                </w:rPr>
                <m:t>τ</m:t>
              </m:r>
            </m:e>
            <m:sub>
              <m:r>
                <w:rPr>
                  <w:rFonts w:ascii="Cambria Math" w:hAnsi="Cambria Math"/>
                </w:rPr>
                <m:t>E</m:t>
              </m:r>
            </m:sub>
          </m:sSub>
          <m:r>
            <w:rPr>
              <w:rFonts w:ascii="Cambria Math" w:hAnsi="Cambria Math"/>
            </w:rPr>
            <m:t>=C</m:t>
          </m:r>
          <m:sSubSup>
            <m:sSubSupPr>
              <m:ctrlPr>
                <w:rPr>
                  <w:rFonts w:ascii="Cambria Math" w:hAnsi="Cambria Math"/>
                  <w:i/>
                </w:rPr>
              </m:ctrlPr>
            </m:sSubSupPr>
            <m:e>
              <m:r>
                <w:rPr>
                  <w:rFonts w:ascii="Cambria Math" w:hAnsi="Cambria Math"/>
                </w:rPr>
                <m:t>×</m:t>
              </m:r>
              <m:r>
                <w:rPr>
                  <w:rFonts w:ascii="Cambria Math" w:hAnsi="Cambria Math"/>
                </w:rPr>
                <m:t>U</m:t>
              </m:r>
            </m:e>
            <m:sub>
              <m:r>
                <w:rPr>
                  <w:rFonts w:ascii="Cambria Math" w:hAnsi="Cambria Math"/>
                </w:rPr>
                <m:t>B</m:t>
              </m:r>
            </m:sub>
            <m:sup>
              <m:r>
                <w:rPr>
                  <w:rFonts w:ascii="Cambria Math" w:hAnsi="Cambria Math"/>
                </w:rPr>
                <m:t>α</m:t>
              </m:r>
            </m:sup>
          </m:sSubSup>
          <m:sSubSup>
            <m:sSubSupPr>
              <m:ctrlPr>
                <w:rPr>
                  <w:rFonts w:ascii="Cambria Math" w:hAnsi="Cambria Math"/>
                  <w:i/>
                </w:rPr>
              </m:ctrlPr>
            </m:sSubSupPr>
            <m:e>
              <m:r>
                <w:rPr>
                  <w:rFonts w:ascii="Cambria Math" w:hAnsi="Cambria Math"/>
                </w:rPr>
                <m:t>U</m:t>
              </m:r>
            </m:e>
            <m:sub>
              <m:r>
                <w:rPr>
                  <w:rFonts w:ascii="Cambria Math" w:hAnsi="Cambria Math"/>
                </w:rPr>
                <m:t>CD</m:t>
              </m:r>
            </m:sub>
            <m:sup>
              <m:r>
                <w:rPr>
                  <w:rFonts w:ascii="Cambria Math" w:hAnsi="Cambria Math"/>
                </w:rPr>
                <m:t>β</m:t>
              </m:r>
            </m:sup>
          </m:sSubSup>
          <m:sSubSup>
            <m:sSubSupPr>
              <m:ctrlPr>
                <w:rPr>
                  <w:rFonts w:ascii="Cambria Math" w:eastAsiaTheme="minorEastAsia" w:hAnsi="Cambria Math"/>
                  <w:i/>
                </w:rPr>
              </m:ctrlPr>
            </m:sSubSupPr>
            <m:e>
              <m:r>
                <w:rPr>
                  <w:rFonts w:ascii="Cambria Math" w:eastAsiaTheme="minorEastAsia" w:hAnsi="Cambria Math"/>
                </w:rPr>
                <m:t>τ</m:t>
              </m:r>
            </m:e>
            <m:sub>
              <m:r>
                <w:rPr>
                  <w:rFonts w:ascii="Cambria Math" w:eastAsiaTheme="minorEastAsia" w:hAnsi="Cambria Math"/>
                </w:rPr>
                <m:t>del</m:t>
              </m:r>
            </m:sub>
            <m:sup>
              <m:r>
                <w:rPr>
                  <w:rFonts w:ascii="Cambria Math" w:eastAsiaTheme="minorEastAsia" w:hAnsi="Cambria Math"/>
                </w:rPr>
                <m:t>γ</m:t>
              </m:r>
            </m:sup>
          </m:sSubSup>
          <m:sSubSup>
            <m:sSubSupPr>
              <m:ctrlPr>
                <w:rPr>
                  <w:rFonts w:ascii="Cambria Math" w:eastAsiaTheme="minorEastAsia" w:hAnsi="Cambria Math"/>
                  <w:i/>
                </w:rPr>
              </m:ctrlPr>
            </m:sSubSupPr>
            <m:e>
              <m:r>
                <w:rPr>
                  <w:rFonts w:ascii="Cambria Math" w:eastAsiaTheme="minorEastAsia" w:hAnsi="Cambria Math"/>
                </w:rPr>
                <m:t>p</m:t>
              </m:r>
            </m:e>
            <m:sub>
              <m:r>
                <w:rPr>
                  <w:rFonts w:ascii="Cambria Math" w:eastAsiaTheme="minorEastAsia" w:hAnsi="Cambria Math"/>
                </w:rPr>
                <m:t>w</m:t>
              </m:r>
            </m:sub>
            <m:sup>
              <m:r>
                <w:rPr>
                  <w:rFonts w:ascii="Cambria Math" w:eastAsiaTheme="minorEastAsia" w:hAnsi="Cambria Math"/>
                </w:rPr>
                <m:t>δ</m:t>
              </m:r>
            </m:sup>
          </m:sSubSup>
        </m:oMath>
      </m:oMathPara>
    </w:p>
    <w:p w14:paraId="68A06697" w14:textId="7B611A95" w:rsidR="00C06E72" w:rsidRDefault="00C06E72" w:rsidP="00FD464E">
      <w:pPr>
        <w:pStyle w:val="ListParagraph"/>
      </w:pPr>
    </w:p>
    <w:p w14:paraId="5745C6A1" w14:textId="22149497" w:rsidR="00C06E72" w:rsidRDefault="00C06E72" w:rsidP="00FD464E">
      <w:pPr>
        <w:pStyle w:val="ListParagraph"/>
        <w:rPr>
          <w:rFonts w:eastAsiaTheme="minorEastAsia"/>
        </w:rPr>
      </w:pPr>
      <w:r>
        <w:t xml:space="preserve">Select a suitable number of shots using H working gas and with pre-ionization (at least 100. More?) And perform a regression analysis to determine values for </w:t>
      </w:r>
      <m:oMath>
        <m:r>
          <w:rPr>
            <w:rFonts w:ascii="Cambria Math" w:hAnsi="Cambria Math"/>
          </w:rPr>
          <m:t>C</m:t>
        </m:r>
      </m:oMath>
      <w:r>
        <w:rPr>
          <w:rFonts w:eastAsiaTheme="minorEastAsia"/>
        </w:rPr>
        <w:t xml:space="preserve">, </w:t>
      </w:r>
      <m:oMath>
        <m:r>
          <w:rPr>
            <w:rFonts w:ascii="Cambria Math" w:eastAsiaTheme="minorEastAsia" w:hAnsi="Cambria Math"/>
          </w:rPr>
          <m:t>α</m:t>
        </m:r>
      </m:oMath>
      <w:r>
        <w:rPr>
          <w:rFonts w:eastAsiaTheme="minorEastAsia"/>
        </w:rPr>
        <w:t xml:space="preserve">, </w:t>
      </w:r>
      <m:oMath>
        <m:r>
          <w:rPr>
            <w:rFonts w:ascii="Cambria Math" w:eastAsiaTheme="minorEastAsia" w:hAnsi="Cambria Math"/>
          </w:rPr>
          <m:t>β</m:t>
        </m:r>
      </m:oMath>
      <w:r>
        <w:rPr>
          <w:rFonts w:eastAsiaTheme="minorEastAsia"/>
        </w:rPr>
        <w:t xml:space="preserve">, </w:t>
      </w:r>
      <m:oMath>
        <m:r>
          <w:rPr>
            <w:rFonts w:ascii="Cambria Math" w:eastAsiaTheme="minorEastAsia" w:hAnsi="Cambria Math"/>
          </w:rPr>
          <m:t>γ</m:t>
        </m:r>
      </m:oMath>
      <w:r>
        <w:rPr>
          <w:rFonts w:eastAsiaTheme="minorEastAsia"/>
        </w:rPr>
        <w:t xml:space="preserve">, and </w:t>
      </w:r>
      <m:oMath>
        <m:r>
          <w:rPr>
            <w:rFonts w:ascii="Cambria Math" w:eastAsiaTheme="minorEastAsia" w:hAnsi="Cambria Math"/>
          </w:rPr>
          <m:t>δ</m:t>
        </m:r>
      </m:oMath>
      <w:r>
        <w:rPr>
          <w:rFonts w:eastAsiaTheme="minorEastAsia"/>
        </w:rPr>
        <w:t>.</w:t>
      </w:r>
    </w:p>
    <w:p w14:paraId="02974E6F" w14:textId="0D4DB8D6" w:rsidR="00C06E72" w:rsidRPr="00C06E72" w:rsidRDefault="00C06E72" w:rsidP="00C06E72">
      <w:pPr>
        <w:pStyle w:val="ListParagraph"/>
        <w:numPr>
          <w:ilvl w:val="0"/>
          <w:numId w:val="1"/>
        </w:numPr>
      </w:pPr>
      <w:r>
        <w:t xml:space="preserve">Same as question 1., but determine the dependence of the shot duration </w:t>
      </w:r>
      <m:oMath>
        <m:r>
          <w:rPr>
            <w:rFonts w:ascii="Cambria Math" w:hAnsi="Cambria Math"/>
          </w:rPr>
          <m:t>τ</m:t>
        </m:r>
      </m:oMath>
    </w:p>
    <w:p w14:paraId="79B8AF33" w14:textId="0317DF70" w:rsidR="00C06E72" w:rsidRPr="00C06E72" w:rsidRDefault="00C06E72" w:rsidP="00C06E72">
      <w:pPr>
        <w:pStyle w:val="ListParagraph"/>
        <w:numPr>
          <w:ilvl w:val="0"/>
          <w:numId w:val="1"/>
        </w:numPr>
      </w:pPr>
      <w:r>
        <w:rPr>
          <w:rFonts w:eastAsiaTheme="minorEastAsia"/>
        </w:rPr>
        <w:t xml:space="preserve">Same as question 1., but determine the electron temperature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e</m:t>
            </m:r>
          </m:sub>
        </m:sSub>
      </m:oMath>
    </w:p>
    <w:p w14:paraId="1F3E1969" w14:textId="63403CA9" w:rsidR="00C06E72" w:rsidRPr="00C06E72" w:rsidRDefault="00C06E72" w:rsidP="00C06E72">
      <w:pPr>
        <w:pStyle w:val="ListParagraph"/>
        <w:numPr>
          <w:ilvl w:val="0"/>
          <w:numId w:val="1"/>
        </w:numPr>
      </w:pPr>
      <w:r>
        <w:rPr>
          <w:rFonts w:eastAsiaTheme="minorEastAsia"/>
        </w:rPr>
        <w:t xml:space="preserve">Same as question 1., but determine the plasma current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p</m:t>
            </m:r>
          </m:sub>
        </m:sSub>
      </m:oMath>
    </w:p>
    <w:p w14:paraId="32641110" w14:textId="1A1CBFE3" w:rsidR="00C06E72" w:rsidRDefault="00C06E72" w:rsidP="00C06E72">
      <w:pPr>
        <w:pStyle w:val="ListParagraph"/>
        <w:numPr>
          <w:ilvl w:val="0"/>
          <w:numId w:val="1"/>
        </w:numPr>
      </w:pPr>
      <w:r>
        <w:t>Same as question 1., but without pre-ionization. Is it possible to spot significant differences?</w:t>
      </w:r>
    </w:p>
    <w:p w14:paraId="5BFA25BB" w14:textId="5151FB31" w:rsidR="00C06E72" w:rsidRDefault="00C06E72" w:rsidP="00C06E72">
      <w:pPr>
        <w:pStyle w:val="ListParagraph"/>
        <w:numPr>
          <w:ilvl w:val="0"/>
          <w:numId w:val="1"/>
        </w:numPr>
      </w:pPr>
      <w:r>
        <w:t>– 9. Same as questions 2. – 4., without pre-ionization</w:t>
      </w:r>
    </w:p>
    <w:p w14:paraId="511E6D74" w14:textId="0AF75F65" w:rsidR="00C06E72" w:rsidRDefault="00C06E72" w:rsidP="00C06E72">
      <w:pPr>
        <w:pStyle w:val="ListParagraph"/>
        <w:numPr>
          <w:ilvl w:val="0"/>
          <w:numId w:val="3"/>
        </w:numPr>
      </w:pPr>
      <w:r>
        <w:t>– 18. Same as 1. – 9. using He as working gas</w:t>
      </w:r>
    </w:p>
    <w:p w14:paraId="4F134B14" w14:textId="4BA41A91" w:rsidR="00C06E72" w:rsidRPr="00FD464E" w:rsidRDefault="00E65B91" w:rsidP="00C06E72">
      <w:pPr>
        <w:pStyle w:val="ListParagraph"/>
        <w:numPr>
          <w:ilvl w:val="0"/>
          <w:numId w:val="5"/>
        </w:numPr>
      </w:pPr>
      <w:r>
        <w:t xml:space="preserve">After a series of shots using H as working gas, perform one with He. Then repeat it (with identical input parameters) </w:t>
      </w:r>
      <w:proofErr w:type="gramStart"/>
      <w:r>
        <w:t>a number of</w:t>
      </w:r>
      <w:proofErr w:type="gramEnd"/>
      <w:r>
        <w:t xml:space="preserve"> times. How many repetitions do you need before the shot (</w:t>
      </w:r>
      <w:proofErr w:type="spellStart"/>
      <w:r>
        <w:t>n+</w:t>
      </w:r>
      <w:proofErr w:type="gramStart"/>
      <w:r>
        <w:t>1</w:t>
      </w:r>
      <w:proofErr w:type="spellEnd"/>
      <w:r>
        <w:t>)</w:t>
      </w:r>
      <w:proofErr w:type="spellStart"/>
      <w:r w:rsidRPr="00E65B91">
        <w:rPr>
          <w:vertAlign w:val="superscript"/>
        </w:rPr>
        <w:t>th</w:t>
      </w:r>
      <w:proofErr w:type="spellEnd"/>
      <w:proofErr w:type="gramEnd"/>
      <w:r>
        <w:t xml:space="preserve"> becomes identical to (n)</w:t>
      </w:r>
      <w:proofErr w:type="spellStart"/>
      <w:r w:rsidRPr="00E65B91">
        <w:rPr>
          <w:vertAlign w:val="superscript"/>
        </w:rPr>
        <w:t>th</w:t>
      </w:r>
      <w:proofErr w:type="spellEnd"/>
      <w:r>
        <w:t>? Can you detect when a shot can be repeated (</w:t>
      </w:r>
      <w:proofErr w:type="gramStart"/>
      <w:r>
        <w:t>i.e.</w:t>
      </w:r>
      <w:proofErr w:type="gramEnd"/>
      <w:r>
        <w:t xml:space="preserve"> can you clean the data from accidental experimental noise)?</w:t>
      </w:r>
    </w:p>
    <w:sectPr w:rsidR="00C06E72" w:rsidRPr="00FD4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00E09"/>
    <w:multiLevelType w:val="hybridMultilevel"/>
    <w:tmpl w:val="2D02022A"/>
    <w:lvl w:ilvl="0" w:tplc="500E9A5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470D8"/>
    <w:multiLevelType w:val="hybridMultilevel"/>
    <w:tmpl w:val="C2A6FDE6"/>
    <w:lvl w:ilvl="0" w:tplc="4F6C49D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EC6BAD"/>
    <w:multiLevelType w:val="hybridMultilevel"/>
    <w:tmpl w:val="A14A3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484128"/>
    <w:multiLevelType w:val="hybridMultilevel"/>
    <w:tmpl w:val="3B0A7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BF2944"/>
    <w:multiLevelType w:val="hybridMultilevel"/>
    <w:tmpl w:val="B9FA6250"/>
    <w:lvl w:ilvl="0" w:tplc="5FD6191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4E"/>
    <w:rsid w:val="00345FCF"/>
    <w:rsid w:val="00B94FCA"/>
    <w:rsid w:val="00C06E72"/>
    <w:rsid w:val="00E65B91"/>
    <w:rsid w:val="00FD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F90D5"/>
  <w15:chartTrackingRefBased/>
  <w15:docId w15:val="{1CE80DCB-0405-4CA3-92F5-58B2B3DA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64E"/>
    <w:rPr>
      <w:color w:val="808080"/>
    </w:rPr>
  </w:style>
  <w:style w:type="paragraph" w:styleId="ListParagraph">
    <w:name w:val="List Paragraph"/>
    <w:basedOn w:val="Normal"/>
    <w:uiPriority w:val="34"/>
    <w:qFormat/>
    <w:rsid w:val="00FD4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SUBBA  FABIO</dc:creator>
  <cp:keywords/>
  <dc:description/>
  <cp:lastModifiedBy>SUBBA  FABIO</cp:lastModifiedBy>
  <cp:revision>1</cp:revision>
  <dcterms:created xsi:type="dcterms:W3CDTF">2021-03-14T14:41:00Z</dcterms:created>
  <dcterms:modified xsi:type="dcterms:W3CDTF">2021-03-14T15:05:00Z</dcterms:modified>
</cp:coreProperties>
</file>