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b/>
          <w:b/>
        </w:rPr>
      </w:pPr>
      <w:r>
        <w:rPr>
          <w:b/>
        </w:rPr>
        <w:t>PROGRAMME OF COORDINATED RESEARCH ACTIVITIES</w:t>
      </w:r>
    </w:p>
    <w:p>
      <w:pPr>
        <w:pStyle w:val="Normal"/>
        <w:spacing w:lineRule="auto" w:line="240" w:before="0" w:after="0"/>
        <w:rPr>
          <w:bCs/>
          <w:sz w:val="20"/>
          <w:szCs w:val="20"/>
          <w:lang w:val="fr-FR"/>
        </w:rPr>
      </w:pPr>
      <w:r>
        <w:rPr>
          <w:bCs/>
          <w:sz w:val="20"/>
          <w:szCs w:val="20"/>
          <w:lang w:val="fr-FR"/>
        </w:rPr>
        <w:t xml:space="preserve">Webpage: </w:t>
      </w:r>
      <w:hyperlink r:id="rId2">
        <w:r>
          <w:rPr>
            <w:rStyle w:val="InternetLink"/>
            <w:sz w:val="20"/>
            <w:szCs w:val="20"/>
            <w:lang w:val="fr-FR"/>
          </w:rPr>
          <w:t>www.iaea.org/services/coordinated-research-activities</w:t>
        </w:r>
      </w:hyperlink>
    </w:p>
    <w:p>
      <w:pPr>
        <w:pStyle w:val="Normal"/>
        <w:spacing w:lineRule="auto" w:line="240" w:before="0" w:after="0"/>
        <w:rPr>
          <w:bCs/>
          <w:lang w:val="fr-FR"/>
        </w:rPr>
      </w:pPr>
      <w:r>
        <w:rPr>
          <w:bCs/>
          <w:lang w:val="fr-FR"/>
        </w:rPr>
      </w:r>
    </w:p>
    <w:p>
      <w:pPr>
        <w:pStyle w:val="Normal"/>
        <w:spacing w:before="0" w:after="60"/>
        <w:jc w:val="center"/>
        <w:rPr>
          <w:b/>
          <w:b/>
          <w:sz w:val="28"/>
          <w:szCs w:val="28"/>
          <w:lang w:val="fr-FR"/>
        </w:rPr>
      </w:pPr>
      <w:r>
        <w:rPr>
          <w:b/>
          <w:sz w:val="28"/>
          <w:szCs w:val="28"/>
          <w:lang w:val="fr-FR"/>
        </w:rPr>
      </w:r>
    </w:p>
    <w:p>
      <w:pPr>
        <w:pStyle w:val="Normal"/>
        <w:spacing w:before="0" w:after="60"/>
        <w:jc w:val="center"/>
        <w:rPr>
          <w:b/>
          <w:b/>
          <w:sz w:val="28"/>
          <w:szCs w:val="28"/>
        </w:rPr>
      </w:pPr>
      <w:r>
        <w:rPr>
          <w:b/>
          <w:sz w:val="28"/>
          <w:szCs w:val="28"/>
        </w:rPr>
        <w:t xml:space="preserve">Final Report for Contracts </w:t>
      </w:r>
    </w:p>
    <w:p>
      <w:pPr>
        <w:pStyle w:val="Normal"/>
        <w:jc w:val="center"/>
        <w:rPr>
          <w:b/>
          <w:b/>
          <w:i/>
          <w:i/>
          <w:sz w:val="20"/>
        </w:rPr>
      </w:pPr>
      <w:r>
        <w:rPr>
          <w:b/>
          <w:i/>
          <w:sz w:val="20"/>
        </w:rPr>
        <w:t xml:space="preserve">Please send the Final Report to </w:t>
      </w:r>
      <w:hyperlink r:id="rId3">
        <w:r>
          <w:rPr>
            <w:rStyle w:val="InternetLink"/>
            <w:b/>
            <w:i/>
            <w:sz w:val="20"/>
          </w:rPr>
          <w:t>research.contracts@iaea.org</w:t>
        </w:r>
      </w:hyperlink>
    </w:p>
    <w:tbl>
      <w:tblPr>
        <w:tblStyle w:val="TableGrid"/>
        <w:tblW w:w="9242" w:type="dxa"/>
        <w:jc w:val="left"/>
        <w:tblInd w:w="0" w:type="dxa"/>
        <w:tblCellMar>
          <w:top w:w="0" w:type="dxa"/>
          <w:left w:w="108" w:type="dxa"/>
          <w:bottom w:w="0" w:type="dxa"/>
          <w:right w:w="108" w:type="dxa"/>
        </w:tblCellMar>
        <w:tblLook w:val="04a0" w:noHBand="0" w:noVBand="1" w:firstColumn="1" w:lastRow="0" w:lastColumn="0" w:firstRow="1"/>
      </w:tblPr>
      <w:tblGrid>
        <w:gridCol w:w="4621"/>
        <w:gridCol w:w="4620"/>
      </w:tblGrid>
      <w:tr>
        <w:trPr/>
        <w:tc>
          <w:tcPr>
            <w:tcW w:w="4621" w:type="dxa"/>
            <w:tcBorders/>
          </w:tcPr>
          <w:p>
            <w:pPr>
              <w:pStyle w:val="Normal"/>
              <w:spacing w:lineRule="auto" w:line="240" w:before="0" w:after="0"/>
              <w:rPr/>
            </w:pPr>
            <w:r>
              <w:rPr/>
              <w:t xml:space="preserve">CRP code: </w:t>
            </w:r>
            <w:r>
              <w:fldChar w:fldCharType="begin"/>
            </w:r>
            <w:r>
              <w:rPr/>
              <w:instrText>FORMTEXTF13019</w:instrText>
            </w:r>
            <w:r>
              <w:rPr/>
            </w:r>
            <w:r>
              <w:rPr/>
              <w:fldChar w:fldCharType="separate"/>
            </w:r>
            <w:r>
              <w:rPr/>
            </w:r>
            <w:bookmarkStart w:id="0" w:name="_GoBack"/>
            <w:r>
              <w:rPr/>
            </w:r>
            <w:r>
              <w:rPr/>
              <w:fldChar w:fldCharType="end"/>
            </w:r>
            <w:bookmarkEnd w:id="0"/>
          </w:p>
        </w:tc>
        <w:tc>
          <w:tcPr>
            <w:tcW w:w="4620" w:type="dxa"/>
            <w:tcBorders/>
          </w:tcPr>
          <w:p>
            <w:pPr>
              <w:pStyle w:val="Normal"/>
              <w:spacing w:lineRule="auto" w:line="240" w:before="0" w:after="0"/>
              <w:rPr/>
            </w:pPr>
            <w:r>
              <w:rPr/>
              <w:t xml:space="preserve">CRP title: </w:t>
            </w:r>
            <w:r>
              <w:fldChar w:fldCharType="begin">
                <w:ffData>
                  <w:name w:val="Bookmark1"/>
                  <w:enabled/>
                  <w:calcOnExit w:val="0"/>
                  <w:textInput/>
                </w:ffData>
              </w:fldChar>
            </w:r>
            <w:r>
              <w:rPr/>
              <w:instrText> FORMTEXT </w:instrText>
            </w:r>
            <w:r>
              <w:rPr/>
            </w:r>
            <w:r>
              <w:rPr/>
              <w:fldChar w:fldCharType="separate"/>
            </w:r>
            <w:r>
              <w:rPr/>
              <w:t>   Network of Small and Medium Size Magnetic Confinement Fusion  Devices for Fusion Research  </w:t>
            </w:r>
            <w:r>
              <w:rPr/>
            </w:r>
            <w:r>
              <w:rPr/>
              <w:fldChar w:fldCharType="end"/>
            </w:r>
          </w:p>
        </w:tc>
      </w:tr>
      <w:tr>
        <w:trPr/>
        <w:tc>
          <w:tcPr>
            <w:tcW w:w="4621" w:type="dxa"/>
            <w:tcBorders/>
          </w:tcPr>
          <w:p>
            <w:pPr>
              <w:pStyle w:val="Normal"/>
              <w:spacing w:lineRule="auto" w:line="240" w:before="0" w:after="0"/>
              <w:rPr/>
            </w:pPr>
            <w:r>
              <w:rPr/>
              <w:t xml:space="preserve">Contract Number: </w:t>
            </w:r>
            <w:r>
              <w:fldChar w:fldCharType="begin">
                <w:ffData>
                  <w:name w:val="Bookmark2"/>
                  <w:enabled/>
                  <w:calcOnExit w:val="0"/>
                  <w:textInput/>
                </w:ffData>
              </w:fldChar>
            </w:r>
            <w:r>
              <w:rPr/>
              <w:instrText> FORMTEXT </w:instrText>
            </w:r>
            <w:r>
              <w:rPr/>
            </w:r>
            <w:r>
              <w:rPr/>
              <w:fldChar w:fldCharType="separate"/>
            </w:r>
            <w:r>
              <w:rPr/>
              <w:t>   22782     </w:t>
            </w:r>
            <w:r>
              <w:rPr/>
            </w:r>
            <w:r>
              <w:rPr/>
              <w:fldChar w:fldCharType="end"/>
            </w:r>
          </w:p>
        </w:tc>
        <w:tc>
          <w:tcPr>
            <w:tcW w:w="4620" w:type="dxa"/>
            <w:tcBorders/>
          </w:tcPr>
          <w:p>
            <w:pPr>
              <w:pStyle w:val="Normal"/>
              <w:spacing w:lineRule="auto" w:line="240" w:before="0" w:after="0"/>
              <w:rPr/>
            </w:pPr>
            <w:r>
              <w:rPr/>
              <w:t xml:space="preserve">Contract title: </w:t>
            </w:r>
            <w:r>
              <w:fldChar w:fldCharType="begin"/>
            </w:r>
            <w:r>
              <w:rPr/>
              <w:instrText>FORMTEXTScientific and education activities on the GOLEM tokamak in the framework of the IAEA CRP</w:instrText>
            </w:r>
            <w:r>
              <w:rPr/>
            </w:r>
            <w:r>
              <w:rPr/>
              <w:fldChar w:fldCharType="separate"/>
            </w:r>
            <w:r>
              <w:rPr/>
            </w:r>
            <w:r>
              <w:rPr/>
            </w:r>
            <w:r>
              <w:rPr/>
              <w:fldChar w:fldCharType="end"/>
            </w:r>
          </w:p>
        </w:tc>
      </w:tr>
      <w:tr>
        <w:trPr/>
        <w:tc>
          <w:tcPr>
            <w:tcW w:w="9241" w:type="dxa"/>
            <w:gridSpan w:val="2"/>
            <w:tcBorders/>
          </w:tcPr>
          <w:p>
            <w:pPr>
              <w:pStyle w:val="Normal"/>
              <w:spacing w:lineRule="auto" w:line="240" w:before="0" w:after="0"/>
              <w:rPr/>
            </w:pPr>
            <w:r>
              <w:rPr/>
              <w:t xml:space="preserve">Institute Name: </w:t>
            </w:r>
            <w:r>
              <w:fldChar w:fldCharType="begin"/>
            </w:r>
            <w:r>
              <w:rPr/>
              <w:instrText>FORMTEXTCzech Technical University</w:instrText>
            </w:r>
            <w:r>
              <w:rPr/>
            </w:r>
            <w:r>
              <w:rPr/>
              <w:fldChar w:fldCharType="separate"/>
            </w:r>
            <w:r>
              <w:rPr/>
            </w:r>
            <w:r>
              <w:rPr/>
            </w:r>
            <w:r>
              <w:rPr/>
              <w:fldChar w:fldCharType="end"/>
            </w:r>
          </w:p>
        </w:tc>
      </w:tr>
      <w:tr>
        <w:trPr/>
        <w:tc>
          <w:tcPr>
            <w:tcW w:w="4621" w:type="dxa"/>
            <w:tcBorders/>
          </w:tcPr>
          <w:p>
            <w:pPr>
              <w:pStyle w:val="Normal"/>
              <w:spacing w:lineRule="auto" w:line="240" w:before="0" w:after="0"/>
              <w:rPr/>
            </w:pPr>
            <w:r>
              <w:rPr/>
              <w:t xml:space="preserve">CSI: </w:t>
            </w:r>
            <w:r>
              <w:fldChar w:fldCharType="begin"/>
            </w:r>
            <w:r>
              <w:rPr/>
              <w:instrText>FORMTEXT  Vojtěch SVOBODA</w:instrText>
            </w:r>
            <w:r>
              <w:rPr/>
            </w:r>
            <w:r>
              <w:rPr/>
              <w:fldChar w:fldCharType="separate"/>
            </w:r>
            <w:r>
              <w:rPr/>
            </w:r>
            <w:r>
              <w:rPr/>
            </w:r>
            <w:r>
              <w:rPr/>
              <w:fldChar w:fldCharType="end"/>
            </w:r>
          </w:p>
        </w:tc>
        <w:tc>
          <w:tcPr>
            <w:tcW w:w="4620" w:type="dxa"/>
            <w:tcBorders/>
          </w:tcPr>
          <w:p>
            <w:pPr>
              <w:pStyle w:val="Normal"/>
              <w:spacing w:lineRule="auto" w:line="240" w:before="0" w:after="0"/>
              <w:rPr/>
            </w:pPr>
            <w:r>
              <w:rPr/>
              <w:t xml:space="preserve">Alternate CSI: </w:t>
            </w:r>
            <w:r>
              <w:fldChar w:fldCharType="begin">
                <w:ffData>
                  <w:name w:val="Bookmark6"/>
                  <w:enabled/>
                  <w:calcOnExit w:val="0"/>
                  <w:textInput/>
                </w:ffData>
              </w:fldChar>
            </w:r>
            <w:r>
              <w:rPr/>
              <w:instrText> FORMTEXT </w:instrText>
            </w:r>
            <w:r>
              <w:rPr/>
            </w:r>
            <w:r>
              <w:rPr/>
              <w:fldChar w:fldCharType="separate"/>
            </w:r>
            <w:r>
              <w:rPr/>
              <w:t>     </w:t>
            </w:r>
            <w:r>
              <w:rPr/>
            </w:r>
            <w:r>
              <w:rPr/>
              <w:fldChar w:fldCharType="end"/>
            </w:r>
          </w:p>
        </w:tc>
      </w:tr>
      <w:tr>
        <w:trPr/>
        <w:tc>
          <w:tcPr>
            <w:tcW w:w="9241" w:type="dxa"/>
            <w:gridSpan w:val="2"/>
            <w:tcBorders/>
          </w:tcPr>
          <w:p>
            <w:pPr>
              <w:pStyle w:val="Normal"/>
              <w:spacing w:lineRule="auto" w:line="240" w:before="0" w:after="0"/>
              <w:rPr>
                <w:rFonts w:ascii="Calibri" w:hAnsi="Calibri"/>
              </w:rPr>
            </w:pPr>
            <w:r>
              <w:rPr/>
              <w:t xml:space="preserve">Period covered: </w:t>
            </w:r>
            <w:r>
              <w:fldChar w:fldCharType="begin">
                <w:ffData>
                  <w:name w:val="Bookmark7"/>
                  <w:enabled/>
                  <w:calcOnExit w:val="0"/>
                  <w:textInput/>
                </w:ffData>
              </w:fldChar>
            </w:r>
            <w:r>
              <w:rPr/>
              <w:instrText> FORMTEXT </w:instrText>
            </w:r>
            <w:r>
              <w:rPr/>
            </w:r>
            <w:r>
              <w:rPr/>
              <w:fldChar w:fldCharType="separate"/>
            </w:r>
            <w:r>
              <w:rPr/>
              <w:t>   </w:t>
            </w:r>
            <w:r>
              <w:rPr>
                <w:sz w:val="16"/>
              </w:rPr>
              <w:t>2018-06-20 – 2022-12-31</w:t>
            </w:r>
            <w:r>
              <w:rPr/>
              <w:t>  </w:t>
            </w:r>
            <w:r>
              <w:rPr/>
            </w:r>
            <w:r>
              <w:rPr/>
              <w:fldChar w:fldCharType="end"/>
            </w:r>
          </w:p>
          <w:p>
            <w:pPr>
              <w:pStyle w:val="Normal"/>
              <w:spacing w:lineRule="auto" w:line="240" w:before="0" w:after="0"/>
              <w:rPr/>
            </w:pPr>
            <w:r>
              <w:rPr>
                <w:sz w:val="16"/>
              </w:rPr>
              <w:t>(yyyy-mm-dd – yyyy-mm-dd)</w:t>
            </w:r>
          </w:p>
        </w:tc>
      </w:tr>
    </w:tbl>
    <w:p>
      <w:pPr>
        <w:pStyle w:val="Normal"/>
        <w:spacing w:before="0" w:after="0"/>
        <w:jc w:val="center"/>
        <w:rPr>
          <w:b/>
          <w:b/>
          <w:sz w:val="16"/>
          <w:szCs w:val="16"/>
        </w:rPr>
      </w:pPr>
      <w:r>
        <w:rPr>
          <w:b/>
          <w:sz w:val="16"/>
          <w:szCs w:val="16"/>
        </w:rPr>
      </w:r>
      <w:r>
        <w:br w:type="page"/>
      </w:r>
    </w:p>
    <w:tbl>
      <w:tblPr>
        <w:tblStyle w:val="TableGrid"/>
        <w:tblW w:w="9276" w:type="dxa"/>
        <w:jc w:val="left"/>
        <w:tblInd w:w="-34" w:type="dxa"/>
        <w:tblCellMar>
          <w:top w:w="0" w:type="dxa"/>
          <w:left w:w="108" w:type="dxa"/>
          <w:bottom w:w="0" w:type="dxa"/>
          <w:right w:w="108" w:type="dxa"/>
        </w:tblCellMar>
        <w:tblLook w:val="04a0" w:noHBand="0" w:noVBand="1" w:firstColumn="1" w:lastRow="0" w:lastColumn="0" w:firstRow="1"/>
      </w:tblPr>
      <w:tblGrid>
        <w:gridCol w:w="9276"/>
      </w:tblGrid>
      <w:tr>
        <w:trPr/>
        <w:tc>
          <w:tcPr>
            <w:tcW w:w="9276" w:type="dxa"/>
            <w:tcBorders/>
          </w:tcPr>
          <w:p>
            <w:pPr>
              <w:pStyle w:val="ListParagraph"/>
              <w:pageBreakBefore/>
              <w:numPr>
                <w:ilvl w:val="0"/>
                <w:numId w:val="2"/>
              </w:numPr>
              <w:spacing w:lineRule="auto" w:line="240" w:before="0" w:after="0"/>
              <w:contextualSpacing/>
              <w:rPr>
                <w:rFonts w:ascii="Times New Roman" w:hAnsi="Times New Roman" w:eastAsia="Times New Roman" w:cs="Times New Roman"/>
                <w:bCs/>
                <w:sz w:val="20"/>
                <w:szCs w:val="20"/>
              </w:rPr>
            </w:pPr>
            <w:r>
              <w:rPr>
                <w:sz w:val="20"/>
                <w:szCs w:val="20"/>
              </w:rPr>
              <w:t xml:space="preserve">Overall programme of work, as stated in the Contract, taking into account the recommendations given during Research Coordination Meetings (RCMs) and/or through communication with the Project Officer: </w:t>
            </w:r>
          </w:p>
          <w:p>
            <w:pPr>
              <w:pStyle w:val="Normal"/>
              <w:spacing w:lineRule="auto" w:line="240" w:before="0" w:after="0"/>
              <w:rPr>
                <w:sz w:val="20"/>
                <w:szCs w:val="20"/>
              </w:rPr>
            </w:pPr>
            <w:r>
              <w:fldChar w:fldCharType="begin">
                <w:ffData>
                  <w:name w:val="Bookmark8"/>
                  <w:enabled/>
                  <w:calcOnExit w:val="0"/>
                  <w:textInput/>
                </w:ffData>
              </w:fldChar>
            </w:r>
            <w:r>
              <w:rPr/>
              <w:instrText> FORMTEXT </w:instrText>
            </w:r>
            <w:r>
              <w:rPr/>
            </w:r>
            <w:r>
              <w:rPr/>
              <w:fldChar w:fldCharType="separate"/>
            </w:r>
            <w:r>
              <w:rPr/>
            </w:r>
            <w:r>
              <w:rPr>
                <w:rFonts w:eastAsia="Calibri" w:cs="Times New Roman" w:ascii="Times New Roman" w:hAnsi="Times New Roman"/>
                <w:bCs/>
                <w:sz w:val="24"/>
                <w:szCs w:val="24"/>
                <w:lang w:val="cs-CZ" w:eastAsia="ru-RU"/>
              </w:rPr>
              <w:t xml:space="preserve">2.2.14.1.   </w:t>
            </w:r>
            <w:r>
              <w:rPr>
                <w:rFonts w:eastAsia="Calibri" w:cs="Times New Roman" w:ascii="Times New Roman" w:hAnsi="Times New Roman"/>
                <w:b/>
                <w:bCs/>
                <w:sz w:val="24"/>
                <w:szCs w:val="24"/>
                <w:lang w:val="cs-CZ" w:eastAsia="ru-RU"/>
              </w:rPr>
              <w:t>Main research activities proposed</w:t>
            </w:r>
          </w:p>
          <w:p>
            <w:pPr>
              <w:pStyle w:val="TextBody"/>
              <w:spacing w:lineRule="auto" w:line="240" w:before="0" w:after="0"/>
              <w:contextualSpacing/>
              <w:rPr>
                <w:rFonts w:ascii="Times New Roman" w:hAnsi="Times New Roman" w:eastAsia="Calibri" w:cs="Times New Roman"/>
                <w:bCs/>
                <w:sz w:val="24"/>
                <w:szCs w:val="24"/>
                <w:lang w:val="cs-CZ" w:eastAsia="ru-RU"/>
              </w:rPr>
            </w:pPr>
            <w:r>
              <w:rPr>
                <w:rFonts w:eastAsia="Calibri" w:cs="Times New Roman" w:ascii="Times New Roman" w:hAnsi="Times New Roman"/>
                <w:bCs/>
                <w:sz w:val="24"/>
                <w:szCs w:val="24"/>
                <w:lang w:val="cs-CZ" w:eastAsia="ru-RU"/>
              </w:rPr>
              <w:t>The  scientific activities focus on the field of plasma edge studies using advanced probe techniques and developing diagnostics for runaway studies.</w:t>
            </w:r>
          </w:p>
          <w:p>
            <w:pPr>
              <w:pStyle w:val="TextBody"/>
              <w:spacing w:lineRule="auto" w:line="240" w:before="0" w:after="0"/>
              <w:contextualSpacing/>
              <w:rPr>
                <w:rFonts w:ascii="Times New Roman" w:hAnsi="Times New Roman" w:eastAsia="Calibri" w:cs="Times New Roman"/>
                <w:bCs/>
                <w:lang w:val="cs-CZ" w:eastAsia="ru-RU"/>
              </w:rPr>
            </w:pPr>
            <w:r>
              <w:rPr>
                <w:rFonts w:eastAsia="Calibri" w:cs="Times New Roman" w:ascii="Times New Roman" w:hAnsi="Times New Roman"/>
                <w:bCs/>
                <w:lang w:val="cs-CZ" w:eastAsia="ru-RU"/>
              </w:rPr>
            </w:r>
          </w:p>
          <w:p>
            <w:pPr>
              <w:pStyle w:val="TextBody"/>
              <w:spacing w:lineRule="auto" w:line="240" w:before="0" w:after="0"/>
              <w:contextualSpacing/>
              <w:rPr/>
            </w:pPr>
            <w:r>
              <w:rPr>
                <w:rFonts w:eastAsia="Calibri" w:cs="Times New Roman" w:ascii="Times New Roman" w:hAnsi="Times New Roman"/>
                <w:bCs/>
                <w:sz w:val="24"/>
                <w:szCs w:val="24"/>
                <w:lang w:val="cs-CZ" w:eastAsia="ru-RU"/>
              </w:rPr>
              <w:t xml:space="preserve">2.2.14.3.   </w:t>
            </w:r>
            <w:r>
              <w:rPr>
                <w:rFonts w:eastAsia="Calibri" w:cs="Times New Roman" w:ascii="Times New Roman" w:hAnsi="Times New Roman"/>
                <w:b/>
                <w:bCs/>
                <w:sz w:val="24"/>
                <w:szCs w:val="24"/>
                <w:lang w:val="cs-CZ" w:eastAsia="ru-RU"/>
              </w:rPr>
              <w:t>Education activities</w:t>
            </w:r>
          </w:p>
          <w:p>
            <w:pPr>
              <w:pStyle w:val="Normal"/>
              <w:spacing w:lineRule="auto" w:line="240" w:before="0" w:after="0"/>
              <w:rPr>
                <w:sz w:val="20"/>
                <w:szCs w:val="20"/>
              </w:rPr>
            </w:pPr>
            <w:r>
              <w:rPr>
                <w:rFonts w:eastAsia="Calibri" w:cs="Times New Roman" w:ascii="Times New Roman" w:hAnsi="Times New Roman"/>
                <w:bCs/>
                <w:sz w:val="24"/>
                <w:szCs w:val="24"/>
                <w:lang w:val="cs-CZ" w:eastAsia="ru-RU"/>
              </w:rPr>
              <w:t>In the CRP context there are two planned education activities: GOMTRAIC, a week of hands-on experiments at the GOLEM tokamak, and a set of remote participation training courses.</w:t>
            </w:r>
            <w:r>
              <w:rPr>
                <w:sz w:val="20"/>
                <w:szCs w:val="20"/>
              </w:rPr>
              <w:t>        </w:t>
            </w:r>
            <w:r>
              <w:rPr/>
            </w:r>
            <w:r>
              <w:rPr/>
              <w:fldChar w:fldCharType="end"/>
            </w:r>
          </w:p>
          <w:p>
            <w:pPr>
              <w:pStyle w:val="Normal"/>
              <w:spacing w:lineRule="auto" w:line="240" w:before="0" w:after="0"/>
              <w:rPr>
                <w:sz w:val="20"/>
                <w:szCs w:val="20"/>
              </w:rPr>
            </w:pPr>
            <w:r>
              <w:rPr>
                <w:sz w:val="20"/>
                <w:szCs w:val="20"/>
              </w:rPr>
            </w:r>
          </w:p>
        </w:tc>
      </w:tr>
      <w:tr>
        <w:trPr/>
        <w:tc>
          <w:tcPr>
            <w:tcW w:w="9276" w:type="dxa"/>
            <w:tcBorders/>
          </w:tcPr>
          <w:p>
            <w:pPr>
              <w:pStyle w:val="ListParagraph"/>
              <w:numPr>
                <w:ilvl w:val="0"/>
                <w:numId w:val="2"/>
              </w:numPr>
              <w:spacing w:lineRule="auto" w:line="240" w:before="0" w:after="0"/>
              <w:contextualSpacing/>
              <w:rPr>
                <w:sz w:val="20"/>
                <w:szCs w:val="20"/>
              </w:rPr>
            </w:pPr>
            <w:r>
              <w:rPr>
                <w:sz w:val="20"/>
                <w:szCs w:val="20"/>
              </w:rPr>
              <w:t>Summary which describes in brief form the experimental method, the results and conclusions drawn:</w:t>
            </w:r>
          </w:p>
          <w:p>
            <w:pPr>
              <w:pStyle w:val="ListParagraph"/>
              <w:spacing w:lineRule="auto" w:line="240" w:before="0" w:after="0"/>
              <w:ind w:left="0" w:hanging="0"/>
              <w:contextualSpacing/>
              <w:rPr>
                <w:rFonts w:ascii="Calibri" w:hAnsi="Calibri"/>
                <w:sz w:val="20"/>
                <w:szCs w:val="20"/>
              </w:rPr>
            </w:pPr>
            <w:r>
              <w:fldChar w:fldCharType="begin">
                <w:ffData>
                  <w:name w:val="Bookmark9"/>
                  <w:enabled/>
                  <w:calcOnExit w:val="0"/>
                  <w:textInput/>
                </w:ffData>
              </w:fldChar>
            </w:r>
            <w:r>
              <w:rPr/>
              <w:instrText> FORMTEXT </w:instrText>
            </w:r>
            <w:r>
              <w:rPr/>
            </w:r>
            <w:r>
              <w:rPr/>
              <w:fldChar w:fldCharType="separate"/>
            </w:r>
            <w:r>
              <w:rPr/>
            </w:r>
            <w:r>
              <w:rPr>
                <w:rFonts w:eastAsia="Calibri" w:cs="Times New Roman" w:ascii="CMU Sans Serif" w:hAnsi="CMU Sans Serif"/>
                <w:b/>
                <w:bCs/>
                <w:sz w:val="22"/>
                <w:szCs w:val="22"/>
                <w:lang w:val="cs-CZ" w:eastAsia="ru-RU"/>
              </w:rPr>
              <w:t>Research activities</w:t>
            </w:r>
            <w:r>
              <w:rPr>
                <w:rFonts w:ascii="CMU Sans Serif" w:hAnsi="CMU Sans Serif"/>
                <w:sz w:val="22"/>
                <w:szCs w:val="22"/>
              </w:rPr>
              <w:t xml:space="preserve"> </w:t>
            </w:r>
          </w:p>
          <w:p>
            <w:pPr>
              <w:pStyle w:val="ListParagraph"/>
              <w:spacing w:lineRule="auto" w:line="240" w:before="0" w:after="0"/>
              <w:ind w:left="0" w:right="0" w:hanging="0"/>
              <w:contextualSpacing/>
              <w:rPr>
                <w:rFonts w:ascii="CMU Sans Serif" w:hAnsi="CMU Sans Serif"/>
                <w:sz w:val="22"/>
                <w:szCs w:val="22"/>
                <w:u w:val="single"/>
              </w:rPr>
            </w:pPr>
            <w:r>
              <w:rPr>
                <w:rFonts w:eastAsia="Calibri" w:cs="Times New Roman" w:ascii="CMU Sans Serif" w:hAnsi="CMU Sans Serif"/>
                <w:b w:val="false"/>
                <w:bCs w:val="false"/>
                <w:sz w:val="22"/>
                <w:szCs w:val="22"/>
                <w:u w:val="single"/>
                <w:lang w:val="cs-CZ" w:eastAsia="ru-RU"/>
              </w:rPr>
              <w:t>I. physics and diagnostics of the plasma edge</w:t>
            </w:r>
          </w:p>
          <w:p>
            <w:pPr>
              <w:pStyle w:val="ListParagraph"/>
              <w:spacing w:lineRule="auto" w:line="240" w:before="0" w:after="0"/>
              <w:ind w:left="0" w:right="0" w:hanging="0"/>
              <w:contextualSpacing/>
              <w:rPr>
                <w:rFonts w:ascii="CMU Sans Serif" w:hAnsi="CMU Sans Serif"/>
                <w:sz w:val="22"/>
                <w:szCs w:val="22"/>
              </w:rPr>
            </w:pPr>
            <w:r>
              <w:rPr>
                <w:rFonts w:eastAsia="Calibri" w:cs="Times New Roman" w:ascii="CMU Sans Serif" w:hAnsi="CMU Sans Serif"/>
                <w:b w:val="false"/>
                <w:bCs/>
                <w:sz w:val="22"/>
                <w:szCs w:val="22"/>
                <w:u w:val="none"/>
                <w:lang w:val="cs-CZ" w:eastAsia="ru-RU"/>
              </w:rPr>
              <w:t>A wide spectrum of a</w:t>
            </w:r>
            <w:r>
              <w:rPr>
                <w:rFonts w:ascii="CMU Sans Serif" w:hAnsi="CMU Sans Serif"/>
                <w:sz w:val="22"/>
                <w:szCs w:val="22"/>
              </w:rPr>
              <w:t xml:space="preserve">dvanced electrostatic probes (Tunnel , Rail, Ball pen, Mach, Double rake ) were tested in various tokamak regimes including </w:t>
            </w:r>
            <w:r>
              <w:rPr>
                <w:rFonts w:eastAsia="Calibri" w:cs="Times New Roman" w:ascii="CMU Sans Serif" w:hAnsi="CMU Sans Serif"/>
                <w:b w:val="false"/>
                <w:bCs/>
                <w:sz w:val="22"/>
                <w:szCs w:val="22"/>
                <w:u w:val="none"/>
                <w:lang w:val="cs-CZ" w:eastAsia="ru-RU"/>
              </w:rPr>
              <w:t>swept edge plasma potential biasing,</w:t>
            </w:r>
            <w:r>
              <w:rPr>
                <w:rFonts w:ascii="CMU Sans Serif" w:hAnsi="CMU Sans Serif"/>
                <w:sz w:val="22"/>
                <w:szCs w:val="22"/>
              </w:rPr>
              <w:t xml:space="preserve"> and used for f</w:t>
            </w:r>
            <w:r>
              <w:rPr>
                <w:rFonts w:eastAsia="Calibri" w:cs="Times New Roman" w:ascii="CMU Sans Serif" w:hAnsi="CMU Sans Serif"/>
                <w:b w:val="false"/>
                <w:bCs/>
                <w:sz w:val="22"/>
                <w:szCs w:val="22"/>
                <w:u w:val="none"/>
                <w:lang w:val="cs-CZ" w:eastAsia="ru-RU"/>
              </w:rPr>
              <w:t>ast measurements of ion and electron temperature. [Macch],</w:t>
            </w:r>
            <w:r>
              <w:rPr>
                <w:rFonts w:eastAsia="Calibri" w:cs="Century Schoolbook L" w:ascii="CMU Sans Serif" w:hAnsi="CMU Sans Serif"/>
                <w:b/>
                <w:bCs/>
                <w:sz w:val="22"/>
                <w:szCs w:val="22"/>
                <w:u w:val="none"/>
                <w:lang w:val="cs-CZ" w:eastAsia="ru-RU"/>
              </w:rPr>
              <w:t xml:space="preserve"> </w:t>
            </w:r>
            <w:r>
              <w:rPr>
                <w:rFonts w:eastAsia="Calibri" w:cs="Century Schoolbook L" w:ascii="CMU Sans Serif" w:hAnsi="CMU Sans Serif"/>
                <w:b w:val="false"/>
                <w:bCs w:val="false"/>
                <w:sz w:val="22"/>
                <w:szCs w:val="22"/>
                <w:u w:val="none"/>
                <w:lang w:val="cs-CZ" w:eastAsia="ru-RU"/>
              </w:rPr>
              <w:t xml:space="preserve">[Jirch] ,[Darst] and </w:t>
            </w:r>
            <w:r>
              <w:rPr>
                <w:rFonts w:eastAsia="Calibri" w:cs="Times New Roman" w:ascii="CMU Sans Serif" w:hAnsi="CMU Sans Serif"/>
                <w:b w:val="false"/>
                <w:bCs/>
                <w:sz w:val="22"/>
                <w:szCs w:val="22"/>
                <w:u w:val="none"/>
                <w:lang w:val="cs-CZ" w:eastAsia="ru-RU"/>
              </w:rPr>
              <w:t xml:space="preserve"> [Papch].</w:t>
            </w:r>
          </w:p>
          <w:p>
            <w:pPr>
              <w:pStyle w:val="ListParagraph"/>
              <w:spacing w:lineRule="auto" w:line="240" w:before="0" w:after="0"/>
              <w:ind w:left="0" w:right="0" w:hanging="0"/>
              <w:contextualSpacing/>
              <w:rPr>
                <w:rFonts w:ascii="CMU Sans Serif" w:hAnsi="CMU Sans Serif"/>
                <w:sz w:val="22"/>
                <w:szCs w:val="22"/>
              </w:rPr>
            </w:pPr>
            <w:r>
              <w:rPr>
                <w:rFonts w:ascii="CMU Sans Serif" w:hAnsi="CMU Sans Serif"/>
                <w:sz w:val="22"/>
                <w:szCs w:val="22"/>
              </w:rPr>
              <w:t xml:space="preserve">Particular focus was applied to the isotopic studies of </w:t>
            </w:r>
            <w:r>
              <w:rPr>
                <w:rFonts w:ascii="CMU Sans Serif" w:hAnsi="CMU Sans Serif"/>
                <w:b w:val="false"/>
                <w:bCs w:val="false"/>
                <w:sz w:val="22"/>
                <w:szCs w:val="22"/>
              </w:rPr>
              <w:t>operational domains in hydrogen and helium plasmas and s</w:t>
            </w:r>
            <w:r>
              <w:rPr>
                <w:rFonts w:ascii="CMU Sans Serif" w:hAnsi="CMU Sans Serif"/>
                <w:b w:val="false"/>
                <w:bCs w:val="false"/>
                <w:sz w:val="22"/>
                <w:szCs w:val="22"/>
                <w:u w:val="none"/>
              </w:rPr>
              <w:t>elf-induced transport barrier in the Helium plasma, see</w:t>
            </w:r>
            <w:r>
              <w:rPr>
                <w:rFonts w:ascii="CMU Sans Serif" w:hAnsi="CMU Sans Serif"/>
                <w:b w:val="false"/>
                <w:bCs w:val="false"/>
                <w:sz w:val="22"/>
                <w:szCs w:val="22"/>
              </w:rPr>
              <w:t xml:space="preserve"> </w:t>
            </w:r>
            <w:r>
              <w:rPr>
                <w:rFonts w:cs="Century Schoolbook L" w:ascii="CMU Sans Serif" w:hAnsi="CMU Sans Serif"/>
                <w:b w:val="false"/>
                <w:bCs w:val="false"/>
                <w:sz w:val="22"/>
                <w:szCs w:val="22"/>
              </w:rPr>
              <w:t xml:space="preserve">[Svo+19], [Saranch+21] and </w:t>
            </w:r>
            <w:r>
              <w:rPr>
                <w:rFonts w:cs="TeX Gyre Termes Math" w:ascii="CMU Sans Serif" w:hAnsi="CMU Sans Serif"/>
                <w:b w:val="false"/>
                <w:bCs w:val="false"/>
                <w:i w:val="false"/>
                <w:iCs w:val="false"/>
                <w:sz w:val="22"/>
                <w:szCs w:val="22"/>
                <w:u w:val="none"/>
              </w:rPr>
              <w:t>[Mac22b].</w:t>
            </w:r>
          </w:p>
          <w:p>
            <w:pPr>
              <w:pStyle w:val="Normal"/>
              <w:spacing w:before="0" w:after="0"/>
              <w:rPr>
                <w:rFonts w:ascii="CMU Sans Serif" w:hAnsi="CMU Sans Serif"/>
                <w:b w:val="false"/>
                <w:b w:val="false"/>
                <w:bCs w:val="false"/>
                <w:sz w:val="22"/>
                <w:szCs w:val="22"/>
              </w:rPr>
            </w:pPr>
            <w:r>
              <w:rPr>
                <w:rFonts w:cs="TeX Gyre Termes Math" w:ascii="CMU Sans Serif" w:hAnsi="CMU Sans Serif"/>
                <w:b w:val="false"/>
                <w:bCs w:val="false"/>
                <w:i w:val="false"/>
                <w:iCs w:val="false"/>
                <w:sz w:val="22"/>
                <w:szCs w:val="22"/>
                <w:u w:val="none"/>
              </w:rPr>
              <w:t xml:space="preserve">Secondly studies dedicated to Magnetic turbulence and long-range correlation together with </w:t>
            </w:r>
            <w:r>
              <w:rPr>
                <w:rFonts w:ascii="CMU Sans Serif" w:hAnsi="CMU Sans Serif"/>
                <w:b w:val="false"/>
                <w:bCs w:val="false"/>
                <w:sz w:val="22"/>
                <w:szCs w:val="22"/>
              </w:rPr>
              <w:t>Magnetohydrodynamic Mode Identification  Using Singular Value Decomposition and Multichannel Variational Mode Decomposition Method  were performed with two sets of Mirnov coils surrounding poloidally plasma column at two different toroidal positions, see</w:t>
            </w:r>
            <w:r>
              <w:rPr>
                <w:rFonts w:cs="TeX Gyre Termes Math" w:ascii="CMU Sans Serif" w:hAnsi="CMU Sans Serif"/>
                <w:b w:val="false"/>
                <w:bCs w:val="false"/>
                <w:i w:val="false"/>
                <w:iCs w:val="false"/>
                <w:sz w:val="22"/>
                <w:szCs w:val="22"/>
                <w:u w:val="none"/>
              </w:rPr>
              <w:t xml:space="preserve">[Sar+21a], </w:t>
            </w:r>
            <w:r>
              <w:rPr>
                <w:rFonts w:ascii="CMU Sans Serif" w:hAnsi="CMU Sans Serif"/>
                <w:b w:val="false"/>
                <w:bCs w:val="false"/>
                <w:sz w:val="22"/>
                <w:szCs w:val="22"/>
              </w:rPr>
              <w:t>[CJ22].</w:t>
            </w:r>
          </w:p>
          <w:p>
            <w:pPr>
              <w:pStyle w:val="Normal"/>
              <w:spacing w:lineRule="auto" w:line="240" w:before="0" w:after="0"/>
              <w:ind w:left="0" w:right="0" w:hanging="0"/>
              <w:rPr>
                <w:rFonts w:ascii="CMU Sans Serif" w:hAnsi="CMU Sans Serif"/>
                <w:b w:val="false"/>
                <w:b w:val="false"/>
                <w:bCs w:val="false"/>
                <w:sz w:val="22"/>
                <w:szCs w:val="22"/>
              </w:rPr>
            </w:pPr>
            <w:r>
              <w:rPr>
                <w:rFonts w:ascii="CMU Sans Serif" w:hAnsi="CMU Sans Serif"/>
                <w:b w:val="false"/>
                <w:bCs w:val="false"/>
                <w:sz w:val="22"/>
                <w:szCs w:val="22"/>
              </w:rPr>
            </w:r>
          </w:p>
          <w:p>
            <w:pPr>
              <w:pStyle w:val="ListParagraph"/>
              <w:spacing w:lineRule="auto" w:line="240" w:before="0" w:after="0"/>
              <w:ind w:left="0" w:right="0" w:hanging="0"/>
              <w:contextualSpacing/>
              <w:rPr>
                <w:rFonts w:ascii="CMU Sans Serif" w:hAnsi="CMU Sans Serif"/>
                <w:b w:val="false"/>
                <w:b w:val="false"/>
                <w:bCs w:val="false"/>
                <w:sz w:val="22"/>
                <w:szCs w:val="22"/>
                <w:u w:val="single"/>
              </w:rPr>
            </w:pPr>
            <w:r>
              <w:rPr>
                <w:rFonts w:eastAsia="Calibri" w:cs="Times New Roman" w:ascii="CMU Sans Serif" w:hAnsi="CMU Sans Serif"/>
                <w:b w:val="false"/>
                <w:bCs w:val="false"/>
                <w:sz w:val="22"/>
                <w:szCs w:val="22"/>
                <w:u w:val="single"/>
                <w:lang w:val="cs-CZ" w:eastAsia="ru-RU"/>
              </w:rPr>
              <w:t>II. physics and diagnostics of runaway electrons.</w:t>
            </w:r>
          </w:p>
          <w:p>
            <w:pPr>
              <w:pStyle w:val="Normal"/>
              <w:spacing w:lineRule="auto" w:line="240" w:before="0" w:after="0"/>
              <w:ind w:left="0" w:right="0" w:hanging="0"/>
              <w:rPr>
                <w:rFonts w:ascii="CMU Sans Serif" w:hAnsi="CMU Sans Serif"/>
                <w:sz w:val="22"/>
                <w:szCs w:val="22"/>
              </w:rPr>
            </w:pPr>
            <w:r>
              <w:rPr>
                <w:rFonts w:ascii="CMU Sans Serif" w:hAnsi="CMU Sans Serif"/>
                <w:b w:val="false"/>
                <w:bCs w:val="false"/>
                <w:sz w:val="22"/>
                <w:szCs w:val="22"/>
                <w:u w:val="none"/>
              </w:rPr>
              <w:t xml:space="preserve">In the Diagnostics branch we focused on </w:t>
            </w:r>
            <w:r>
              <w:rPr>
                <w:rFonts w:cs="Century Schoolbook L" w:ascii="CMU Sans Serif" w:hAnsi="CMU Sans Serif"/>
                <w:b w:val="false"/>
                <w:bCs w:val="false"/>
                <w:sz w:val="22"/>
                <w:szCs w:val="22"/>
                <w:u w:val="none"/>
              </w:rPr>
              <w:t>Design and Development of various Probes for the Measurements of X-rays Generated by Runaway Electrons  using silicon strip detector,    Timepix3-based silicon pixel detector with SPIDR 10 GBps readout.,</w:t>
            </w:r>
            <w:r>
              <w:rPr>
                <w:rFonts w:ascii="CMU Sans Serif" w:hAnsi="CMU Sans Serif"/>
                <w:b w:val="false"/>
                <w:bCs w:val="false"/>
                <w:sz w:val="22"/>
                <w:szCs w:val="22"/>
              </w:rPr>
              <w:t xml:space="preserve"> TimePix3 </w:t>
            </w:r>
            <w:r>
              <w:rPr>
                <w:rFonts w:ascii="CMU Sans Serif" w:hAnsi="CMU Sans Serif"/>
                <w:b w:val="false"/>
                <w:bCs w:val="false"/>
                <w:sz w:val="22"/>
                <w:szCs w:val="22"/>
                <w:u w:val="none"/>
              </w:rPr>
              <w:t xml:space="preserve">Device with 1 mm thick Silicon Sensor and a set of scintillation probes with  various crystals (NaI(Tl), YAP, CeBr and </w:t>
            </w:r>
            <w:r>
              <w:rPr>
                <w:rFonts w:ascii="CMU Sans Serif" w:hAnsi="CMU Sans Serif"/>
                <w:b w:val="false"/>
                <w:bCs w:val="false"/>
                <w:i w:val="false"/>
                <w:caps w:val="false"/>
                <w:smallCaps w:val="false"/>
                <w:color w:val="4D5156"/>
                <w:spacing w:val="0"/>
                <w:sz w:val="22"/>
                <w:szCs w:val="22"/>
                <w:u w:val="none"/>
              </w:rPr>
              <w:t>LYSO</w:t>
            </w:r>
            <w:r>
              <w:rPr>
                <w:rFonts w:ascii="CMU Sans Serif" w:hAnsi="CMU Sans Serif"/>
                <w:b w:val="false"/>
                <w:bCs w:val="false"/>
                <w:sz w:val="22"/>
                <w:szCs w:val="22"/>
                <w:u w:val="none"/>
              </w:rPr>
              <w:t>), see</w:t>
            </w:r>
            <w:r>
              <w:rPr>
                <w:rFonts w:ascii="CMU Sans Serif" w:hAnsi="CMU Sans Serif"/>
                <w:b w:val="false"/>
                <w:bCs w:val="false"/>
                <w:i w:val="false"/>
                <w:iCs w:val="false"/>
                <w:sz w:val="22"/>
                <w:szCs w:val="22"/>
                <w:u w:val="none"/>
              </w:rPr>
              <w:t xml:space="preserve"> [Lin+18], </w:t>
            </w:r>
            <w:r>
              <w:rPr>
                <w:rFonts w:eastAsia="Century Schoolbook L" w:cs="Century Schoolbook L" w:ascii="CMU Sans Serif" w:hAnsi="CMU Sans Serif"/>
                <w:b w:val="false"/>
                <w:bCs w:val="false"/>
                <w:i w:val="false"/>
                <w:iCs w:val="false"/>
                <w:sz w:val="22"/>
                <w:szCs w:val="22"/>
                <w:u w:val="none"/>
              </w:rPr>
              <w:t xml:space="preserve">[Dhy19] , [Nov+20], [Kul21] and </w:t>
            </w:r>
            <w:r>
              <w:rPr>
                <w:rFonts w:ascii="CMU Sans Serif" w:hAnsi="CMU Sans Serif"/>
                <w:b w:val="false"/>
                <w:bCs w:val="false"/>
                <w:i w:val="false"/>
                <w:iCs w:val="false"/>
                <w:sz w:val="22"/>
                <w:szCs w:val="22"/>
                <w:u w:val="none"/>
              </w:rPr>
              <w:t xml:space="preserve">[Kul+22]. Based on these novel diagnostics we performed a set of sessions dedicated to general behaviour of </w:t>
            </w:r>
            <w:r>
              <w:rPr>
                <w:rFonts w:ascii="CMU Sans Serif" w:hAnsi="CMU Sans Serif"/>
                <w:b w:val="false"/>
                <w:bCs w:val="false"/>
                <w:sz w:val="22"/>
                <w:szCs w:val="22"/>
                <w:u w:val="none"/>
              </w:rPr>
              <w:t>Runaway Electrons in GOLEM Tokamak</w:t>
            </w:r>
            <w:r>
              <w:rPr>
                <w:rFonts w:cs="Century Schoolbook L" w:ascii="CMU Sans Serif" w:hAnsi="CMU Sans Serif"/>
                <w:b w:val="false"/>
                <w:bCs w:val="false"/>
                <w:sz w:val="22"/>
                <w:szCs w:val="22"/>
                <w:u w:val="none"/>
              </w:rPr>
              <w:t xml:space="preserve"> with focus on </w:t>
            </w:r>
            <w:r>
              <w:rPr>
                <w:rFonts w:eastAsia="Calibri" w:cs="DejaVu Sans" w:ascii="CMU Sans Serif" w:hAnsi="CMU Sans Serif"/>
                <w:b w:val="false"/>
                <w:bCs w:val="false"/>
                <w:color w:val="auto"/>
                <w:kern w:val="0"/>
                <w:sz w:val="22"/>
                <w:szCs w:val="22"/>
                <w:lang w:val="en-GB" w:eastAsia="en-US" w:bidi="ar-SA"/>
              </w:rPr>
              <w:t>their</w:t>
            </w:r>
            <w:r>
              <w:rPr>
                <w:rFonts w:ascii="CMU Sans Serif" w:hAnsi="CMU Sans Serif"/>
                <w:b w:val="false"/>
                <w:bCs w:val="false"/>
                <w:sz w:val="22"/>
                <w:szCs w:val="22"/>
                <w:u w:val="none"/>
              </w:rPr>
              <w:t xml:space="preserve"> Production Dynamics Dependence on the Breakdown Phase of the Tokamak Plasma  </w:t>
            </w:r>
            <w:r>
              <w:rPr>
                <w:rFonts w:cs="Century Schoolbook L" w:ascii="CMU Sans Serif" w:hAnsi="CMU Sans Serif"/>
                <w:b w:val="false"/>
                <w:bCs w:val="false"/>
                <w:sz w:val="22"/>
                <w:szCs w:val="22"/>
                <w:u w:val="none"/>
              </w:rPr>
              <w:t xml:space="preserve">[Dhy+19] and </w:t>
            </w:r>
            <w:r>
              <w:rPr>
                <w:rFonts w:ascii="CMU Sans Serif" w:hAnsi="CMU Sans Serif"/>
                <w:b w:val="false"/>
                <w:bCs w:val="false"/>
                <w:sz w:val="22"/>
                <w:szCs w:val="22"/>
                <w:u w:val="none"/>
              </w:rPr>
              <w:t>[Siu+21].</w:t>
            </w:r>
          </w:p>
          <w:p>
            <w:pPr>
              <w:pStyle w:val="Normal"/>
              <w:spacing w:lineRule="auto" w:line="240" w:before="0" w:after="0"/>
              <w:ind w:left="0" w:right="0" w:hanging="0"/>
              <w:rPr>
                <w:rFonts w:ascii="CMU Sans Serif" w:hAnsi="CMU Sans Serif"/>
                <w:b/>
                <w:b/>
                <w:bCs/>
                <w:sz w:val="22"/>
                <w:szCs w:val="22"/>
                <w:u w:val="none"/>
              </w:rPr>
            </w:pPr>
            <w:r>
              <w:rPr>
                <w:rFonts w:ascii="CMU Sans Serif" w:hAnsi="CMU Sans Serif"/>
                <w:b/>
                <w:bCs/>
                <w:sz w:val="22"/>
                <w:szCs w:val="22"/>
                <w:u w:val="none"/>
              </w:rPr>
            </w:r>
          </w:p>
          <w:p>
            <w:pPr>
              <w:pStyle w:val="Normal"/>
              <w:spacing w:lineRule="auto" w:line="240" w:before="0" w:after="0"/>
              <w:ind w:left="0" w:right="0" w:hanging="0"/>
              <w:rPr>
                <w:rFonts w:ascii="CMU Sans Serif" w:hAnsi="CMU Sans Serif"/>
                <w:sz w:val="22"/>
                <w:szCs w:val="22"/>
              </w:rPr>
            </w:pPr>
            <w:r>
              <w:rPr>
                <w:rFonts w:ascii="CMU Sans Serif" w:hAnsi="CMU Sans Serif"/>
                <w:sz w:val="22"/>
                <w:szCs w:val="22"/>
                <w:u w:val="single"/>
              </w:rPr>
              <w:t>III.  Pioneering studies in connection with the application of the high temperature superconductors (HTS) magnets.</w:t>
            </w:r>
          </w:p>
          <w:p>
            <w:pPr>
              <w:pStyle w:val="Normal"/>
              <w:spacing w:lineRule="auto" w:line="240" w:before="0" w:after="0"/>
              <w:ind w:left="0" w:right="0" w:hanging="0"/>
              <w:rPr>
                <w:rFonts w:ascii="CMU Sans Serif" w:hAnsi="CMU Sans Serif"/>
                <w:sz w:val="22"/>
                <w:szCs w:val="22"/>
              </w:rPr>
            </w:pPr>
            <w:r>
              <w:rPr>
                <w:rFonts w:ascii="CMU Sans Serif" w:hAnsi="CMU Sans Serif"/>
                <w:sz w:val="22"/>
                <w:szCs w:val="22"/>
                <w:u w:val="none"/>
              </w:rPr>
              <w:t xml:space="preserve">In the framework of the </w:t>
            </w:r>
            <w:r>
              <w:rPr>
                <w:rFonts w:ascii="CMU Sans Serif" w:hAnsi="CMU Sans Serif"/>
                <w:b/>
                <w:bCs/>
                <w:sz w:val="22"/>
                <w:szCs w:val="22"/>
                <w:u w:val="none"/>
              </w:rPr>
              <w:t xml:space="preserve"> </w:t>
            </w:r>
            <w:r>
              <w:rPr>
                <w:rFonts w:ascii="CMU Sans Serif" w:hAnsi="CMU Sans Serif"/>
                <w:b w:val="false"/>
                <w:bCs w:val="false"/>
                <w:sz w:val="22"/>
                <w:szCs w:val="22"/>
                <w:u w:val="none"/>
              </w:rPr>
              <w:t>IAEA coordinated research projects e</w:t>
            </w:r>
            <w:r>
              <w:rPr>
                <w:rFonts w:ascii="CMU Sans Serif" w:hAnsi="CMU Sans Serif"/>
                <w:sz w:val="22"/>
                <w:szCs w:val="22"/>
                <w:u w:val="none"/>
              </w:rPr>
              <w:t>xperiments on the tokamak GOLEM were dedicated to many: HTS DC and AC tests, HTS switch tests, plasma optimization with HTS coils and required modifications to the discharge scenario to reduce AC losses in HTS coils during current ramp-up, and also characterization of a quench in the HTS coil. [GRY+20].</w:t>
            </w:r>
          </w:p>
          <w:p>
            <w:pPr>
              <w:pStyle w:val="Normal"/>
              <w:spacing w:lineRule="auto" w:line="240" w:before="0" w:after="0"/>
              <w:ind w:left="0" w:right="0" w:hanging="0"/>
              <w:rPr>
                <w:rFonts w:ascii="CMU Sans Serif" w:hAnsi="CMU Sans Serif"/>
                <w:sz w:val="22"/>
                <w:szCs w:val="22"/>
              </w:rPr>
            </w:pPr>
            <w:r>
              <w:rPr>
                <w:rFonts w:ascii="CMU Sans Serif" w:hAnsi="CMU Sans Serif"/>
                <w:sz w:val="22"/>
                <w:szCs w:val="22"/>
              </w:rPr>
            </w:r>
          </w:p>
          <w:p>
            <w:pPr>
              <w:pStyle w:val="TextBody"/>
              <w:spacing w:lineRule="auto" w:line="240" w:before="0" w:after="0"/>
              <w:ind w:left="0" w:right="0" w:hanging="0"/>
              <w:contextualSpacing/>
              <w:rPr>
                <w:rFonts w:ascii="CMU Sans Serif" w:hAnsi="CMU Sans Serif"/>
                <w:sz w:val="22"/>
                <w:szCs w:val="22"/>
              </w:rPr>
            </w:pPr>
            <w:r>
              <w:rPr>
                <w:rFonts w:eastAsia="Calibri" w:cs="Times New Roman" w:ascii="CMU Sans Serif" w:hAnsi="CMU Sans Serif"/>
                <w:b/>
                <w:bCs/>
                <w:sz w:val="22"/>
                <w:szCs w:val="22"/>
                <w:lang w:val="cs-CZ" w:eastAsia="ru-RU"/>
              </w:rPr>
              <w:t>Educational activities</w:t>
            </w:r>
          </w:p>
          <w:p>
            <w:pPr>
              <w:pStyle w:val="TextBody"/>
              <w:spacing w:lineRule="auto" w:line="240" w:before="0" w:after="0"/>
              <w:ind w:left="0" w:right="0" w:hanging="0"/>
              <w:contextualSpacing/>
              <w:rPr>
                <w:rFonts w:ascii="CMU Sans Serif" w:hAnsi="CMU Sans Serif" w:eastAsia="Calibri" w:cs="Times New Roman"/>
                <w:b/>
                <w:b/>
                <w:bCs/>
                <w:sz w:val="22"/>
                <w:szCs w:val="22"/>
                <w:lang w:val="cs-CZ" w:eastAsia="ru-RU"/>
              </w:rPr>
            </w:pPr>
            <w:r>
              <w:rPr>
                <w:rFonts w:eastAsia="Calibri" w:cs="Times New Roman" w:ascii="CMU Sans Serif" w:hAnsi="CMU Sans Serif"/>
                <w:b/>
                <w:bCs/>
                <w:sz w:val="22"/>
                <w:szCs w:val="22"/>
                <w:lang w:val="cs-CZ" w:eastAsia="ru-RU"/>
              </w:rPr>
            </w:r>
          </w:p>
          <w:p>
            <w:pPr>
              <w:pStyle w:val="Normal"/>
              <w:spacing w:before="0" w:after="0"/>
              <w:rPr>
                <w:rFonts w:ascii="CMU Sans Serif" w:hAnsi="CMU Sans Serif"/>
                <w:b w:val="false"/>
                <w:b w:val="false"/>
                <w:bCs w:val="false"/>
                <w:sz w:val="22"/>
                <w:szCs w:val="22"/>
                <w:u w:val="single"/>
              </w:rPr>
            </w:pPr>
            <w:r>
              <w:rPr>
                <w:rFonts w:eastAsia="Calibri" w:cs="Times New Roman" w:ascii="CMU Sans Serif" w:hAnsi="CMU Sans Serif"/>
                <w:b w:val="false"/>
                <w:bCs w:val="false"/>
                <w:sz w:val="22"/>
                <w:szCs w:val="22"/>
                <w:u w:val="single"/>
                <w:lang w:val="cs-CZ" w:eastAsia="ru-RU"/>
              </w:rPr>
              <w:t>I. GOleM TRAIning Course (GOMTRAIC 2019)</w:t>
            </w:r>
          </w:p>
          <w:p>
            <w:pPr>
              <w:pStyle w:val="Normal"/>
              <w:spacing w:before="0" w:after="0"/>
              <w:rPr>
                <w:rFonts w:ascii="CMU Sans Serif" w:hAnsi="CMU Sans Serif"/>
                <w:sz w:val="22"/>
                <w:szCs w:val="22"/>
              </w:rPr>
            </w:pPr>
            <w:r>
              <w:rPr>
                <w:rFonts w:eastAsia="Calibri" w:cs="Times New Roman" w:ascii="CMU Sans Serif" w:hAnsi="CMU Sans Serif"/>
                <w:b w:val="false"/>
                <w:bCs w:val="false"/>
                <w:sz w:val="22"/>
                <w:szCs w:val="22"/>
                <w:u w:val="single"/>
                <w:lang w:val="cs-CZ" w:eastAsia="ru-RU"/>
              </w:rPr>
              <w:t>..</w:t>
            </w:r>
            <w:r>
              <w:rPr>
                <w:rFonts w:eastAsia="Calibri" w:cs="Times New Roman" w:ascii="CMU Sans Serif" w:hAnsi="CMU Sans Serif"/>
                <w:b w:val="false"/>
                <w:bCs/>
                <w:sz w:val="22"/>
                <w:szCs w:val="22"/>
                <w:u w:val="none"/>
                <w:lang w:val="cs-CZ" w:eastAsia="ru-RU"/>
              </w:rPr>
              <w:t xml:space="preserve"> was held at the faculty of Nuclear Sciences and Physical Engineering in the Czech Technical University in Prague, Czech Republic during March 04-08, 2019. Sixteen students (from undergraduate to doctoral level and from ten countries) participated in the course to have hands-on experience of tokamak operation and perform experiments on the GOLEM tokamak. See the final report in attached file. </w:t>
            </w:r>
          </w:p>
          <w:p>
            <w:pPr>
              <w:pStyle w:val="Normal"/>
              <w:spacing w:before="0" w:after="0"/>
              <w:rPr>
                <w:rFonts w:ascii="CMU Sans Serif" w:hAnsi="CMU Sans Serif" w:eastAsia="Calibri" w:cs="Times New Roman"/>
                <w:b w:val="false"/>
                <w:b w:val="false"/>
                <w:bCs/>
                <w:sz w:val="22"/>
                <w:szCs w:val="22"/>
                <w:u w:val="none"/>
                <w:lang w:val="cs-CZ" w:eastAsia="ru-RU"/>
              </w:rPr>
            </w:pPr>
            <w:r>
              <w:rPr>
                <w:rFonts w:eastAsia="Calibri" w:cs="Times New Roman" w:ascii="CMU Sans Serif" w:hAnsi="CMU Sans Serif"/>
                <w:b w:val="false"/>
                <w:bCs/>
                <w:sz w:val="22"/>
                <w:szCs w:val="22"/>
                <w:u w:val="none"/>
                <w:lang w:val="cs-CZ" w:eastAsia="ru-RU"/>
              </w:rPr>
              <w:drawing>
                <wp:anchor behindDoc="0" distT="0" distB="0" distL="0" distR="0" simplePos="0" locked="0" layoutInCell="1" allowOverlap="1" relativeHeight="2">
                  <wp:simplePos x="0" y="0"/>
                  <wp:positionH relativeFrom="column">
                    <wp:posOffset>1569720</wp:posOffset>
                  </wp:positionH>
                  <wp:positionV relativeFrom="paragraph">
                    <wp:posOffset>44450</wp:posOffset>
                  </wp:positionV>
                  <wp:extent cx="2438400" cy="162496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4"/>
                          <a:stretch>
                            <a:fillRect/>
                          </a:stretch>
                        </pic:blipFill>
                        <pic:spPr bwMode="auto">
                          <a:xfrm>
                            <a:off x="0" y="0"/>
                            <a:ext cx="2438400" cy="1624965"/>
                          </a:xfrm>
                          <a:prstGeom prst="rect">
                            <a:avLst/>
                          </a:prstGeom>
                        </pic:spPr>
                      </pic:pic>
                    </a:graphicData>
                  </a:graphic>
                </wp:anchor>
              </w:drawing>
            </w:r>
          </w:p>
          <w:p>
            <w:pPr>
              <w:pStyle w:val="Normal"/>
              <w:spacing w:before="0" w:after="0"/>
              <w:rPr>
                <w:rFonts w:ascii="CMU Sans Serif" w:hAnsi="CMU Sans Serif"/>
                <w:sz w:val="22"/>
                <w:szCs w:val="22"/>
              </w:rPr>
            </w:pPr>
            <w:r>
              <w:rPr>
                <w:rFonts w:ascii="CMU Sans Serif" w:hAnsi="CMU Sans Serif"/>
                <w:sz w:val="22"/>
                <w:szCs w:val="22"/>
              </w:rPr>
            </w:r>
          </w:p>
          <w:p>
            <w:pPr>
              <w:pStyle w:val="Normal"/>
              <w:spacing w:before="0" w:after="0"/>
              <w:rPr>
                <w:rFonts w:ascii="CMU Sans Serif" w:hAnsi="CMU Sans Serif"/>
                <w:sz w:val="22"/>
                <w:szCs w:val="22"/>
              </w:rPr>
            </w:pPr>
            <w:r>
              <w:rPr>
                <w:rFonts w:ascii="CMU Sans Serif" w:hAnsi="CMU Sans Serif"/>
                <w:sz w:val="22"/>
                <w:szCs w:val="22"/>
              </w:rPr>
            </w:r>
          </w:p>
          <w:p>
            <w:pPr>
              <w:pStyle w:val="Normal"/>
              <w:spacing w:before="0" w:after="0"/>
              <w:rPr>
                <w:rFonts w:ascii="CMU Sans Serif" w:hAnsi="CMU Sans Serif"/>
                <w:sz w:val="22"/>
                <w:szCs w:val="22"/>
              </w:rPr>
            </w:pPr>
            <w:r>
              <w:rPr>
                <w:rFonts w:ascii="CMU Sans Serif" w:hAnsi="CMU Sans Serif"/>
                <w:sz w:val="22"/>
                <w:szCs w:val="22"/>
              </w:rPr>
            </w:r>
          </w:p>
          <w:p>
            <w:pPr>
              <w:pStyle w:val="Normal"/>
              <w:spacing w:before="0" w:after="0"/>
              <w:rPr>
                <w:rFonts w:ascii="CMU Sans Serif" w:hAnsi="CMU Sans Serif"/>
                <w:sz w:val="22"/>
                <w:szCs w:val="22"/>
              </w:rPr>
            </w:pPr>
            <w:r>
              <w:rPr>
                <w:rFonts w:ascii="CMU Sans Serif" w:hAnsi="CMU Sans Serif"/>
                <w:sz w:val="22"/>
                <w:szCs w:val="22"/>
              </w:rPr>
            </w:r>
          </w:p>
          <w:p>
            <w:pPr>
              <w:pStyle w:val="Normal"/>
              <w:spacing w:before="0" w:after="0"/>
              <w:rPr>
                <w:rFonts w:ascii="CMU Sans Serif" w:hAnsi="CMU Sans Serif"/>
                <w:sz w:val="22"/>
                <w:szCs w:val="22"/>
              </w:rPr>
            </w:pPr>
            <w:r>
              <w:rPr>
                <w:rFonts w:ascii="CMU Sans Serif" w:hAnsi="CMU Sans Serif"/>
                <w:sz w:val="22"/>
                <w:szCs w:val="22"/>
              </w:rPr>
            </w:r>
          </w:p>
          <w:p>
            <w:pPr>
              <w:pStyle w:val="Normal"/>
              <w:spacing w:before="0" w:after="0"/>
              <w:rPr>
                <w:rFonts w:ascii="CMU Sans Serif" w:hAnsi="CMU Sans Serif"/>
                <w:sz w:val="22"/>
                <w:szCs w:val="22"/>
              </w:rPr>
            </w:pPr>
            <w:r>
              <w:rPr>
                <w:rFonts w:ascii="CMU Sans Serif" w:hAnsi="CMU Sans Serif"/>
                <w:sz w:val="22"/>
                <w:szCs w:val="22"/>
              </w:rPr>
            </w:r>
          </w:p>
          <w:p>
            <w:pPr>
              <w:pStyle w:val="Normal"/>
              <w:spacing w:before="0" w:after="0"/>
              <w:rPr>
                <w:rFonts w:ascii="CMU Sans Serif" w:hAnsi="CMU Sans Serif"/>
                <w:sz w:val="22"/>
                <w:szCs w:val="22"/>
              </w:rPr>
            </w:pPr>
            <w:r>
              <w:rPr>
                <w:rFonts w:ascii="CMU Sans Serif" w:hAnsi="CMU Sans Serif"/>
                <w:sz w:val="22"/>
                <w:szCs w:val="22"/>
              </w:rPr>
            </w:r>
          </w:p>
          <w:p>
            <w:pPr>
              <w:pStyle w:val="Normal"/>
              <w:spacing w:before="0" w:after="0"/>
              <w:jc w:val="center"/>
              <w:rPr>
                <w:rFonts w:ascii="CMU Sans Serif" w:hAnsi="CMU Sans Serif"/>
                <w:sz w:val="22"/>
                <w:szCs w:val="22"/>
              </w:rPr>
            </w:pPr>
            <w:r>
              <w:rPr>
                <w:rFonts w:eastAsia="Calibri" w:cs="Times New Roman" w:ascii="CMU Sans Serif" w:hAnsi="CMU Sans Serif"/>
                <w:b w:val="false"/>
                <w:bCs/>
                <w:sz w:val="22"/>
                <w:szCs w:val="22"/>
                <w:u w:val="none"/>
                <w:lang w:val="cs-CZ" w:eastAsia="ru-RU"/>
              </w:rPr>
              <w:t>GOMTRAIC students after  successful presentations, the final day of the course</w:t>
            </w:r>
          </w:p>
          <w:p>
            <w:pPr>
              <w:pStyle w:val="Normal"/>
              <w:spacing w:before="0" w:after="0"/>
              <w:jc w:val="center"/>
              <w:rPr>
                <w:rFonts w:ascii="CMU Sans Serif" w:hAnsi="CMU Sans Serif"/>
                <w:sz w:val="22"/>
                <w:szCs w:val="22"/>
              </w:rPr>
            </w:pPr>
            <w:r>
              <w:rPr>
                <w:rFonts w:ascii="CMU Sans Serif" w:hAnsi="CMU Sans Serif"/>
                <w:sz w:val="22"/>
                <w:szCs w:val="22"/>
              </w:rPr>
            </w:r>
          </w:p>
          <w:p>
            <w:pPr>
              <w:pStyle w:val="Normal"/>
              <w:spacing w:before="0" w:after="0"/>
              <w:rPr>
                <w:rFonts w:ascii="CMU Sans Serif" w:hAnsi="CMU Sans Serif"/>
                <w:sz w:val="22"/>
                <w:szCs w:val="22"/>
                <w:u w:val="single"/>
              </w:rPr>
            </w:pPr>
            <w:r>
              <w:rPr>
                <w:rFonts w:eastAsia="Calibri" w:cs="Times New Roman" w:ascii="CMU Sans Serif" w:hAnsi="CMU Sans Serif"/>
                <w:b w:val="false"/>
                <w:bCs/>
                <w:sz w:val="22"/>
                <w:szCs w:val="22"/>
                <w:u w:val="single"/>
                <w:lang w:val="cs-CZ" w:eastAsia="ru-RU"/>
              </w:rPr>
              <w:t>II. EPSs:</w:t>
            </w:r>
          </w:p>
          <w:p>
            <w:pPr>
              <w:pStyle w:val="Normal"/>
              <w:spacing w:before="0" w:after="0"/>
              <w:rPr>
                <w:rFonts w:ascii="CMU Sans Serif" w:hAnsi="CMU Sans Serif"/>
                <w:sz w:val="22"/>
                <w:szCs w:val="22"/>
              </w:rPr>
            </w:pPr>
            <w:r>
              <w:rPr>
                <w:rFonts w:eastAsia="Calibri" w:cs="Times New Roman" w:ascii="CMU Sans Serif" w:hAnsi="CMU Sans Serif"/>
                <w:b w:val="false"/>
                <w:bCs/>
                <w:sz w:val="22"/>
                <w:szCs w:val="22"/>
                <w:u w:val="none"/>
                <w:lang w:val="cs-CZ" w:eastAsia="ru-RU"/>
              </w:rPr>
              <w:t>Each year, a summary of all student activities from bachelor to doctoral level on the Golem tokamak is summarized in a paper for the European Physical Society (EPS) conference on Plasma Physics:</w:t>
            </w:r>
          </w:p>
          <w:p>
            <w:pPr>
              <w:pStyle w:val="Normal"/>
              <w:numPr>
                <w:ilvl w:val="0"/>
                <w:numId w:val="1"/>
              </w:numPr>
              <w:spacing w:lineRule="auto" w:line="240" w:before="0" w:after="0"/>
              <w:rPr>
                <w:rFonts w:ascii="CMU Sans Serif" w:hAnsi="CMU Sans Serif"/>
                <w:b w:val="false"/>
                <w:b w:val="false"/>
                <w:bCs w:val="false"/>
                <w:sz w:val="22"/>
                <w:szCs w:val="22"/>
              </w:rPr>
            </w:pPr>
            <w:r>
              <w:rPr>
                <w:rFonts w:eastAsia="Calibri" w:cs="Times New Roman" w:ascii="CMU Sans Serif" w:hAnsi="CMU Sans Serif"/>
                <w:b w:val="false"/>
                <w:bCs w:val="false"/>
                <w:sz w:val="22"/>
                <w:szCs w:val="22"/>
                <w:u w:val="none"/>
                <w:lang w:val="cs-CZ" w:eastAsia="ru-RU"/>
              </w:rPr>
              <w:t>2019: Tokamak GOLEM for fusion education - chapter 10 [Kul19]</w:t>
            </w:r>
          </w:p>
          <w:p>
            <w:pPr>
              <w:pStyle w:val="Normal"/>
              <w:numPr>
                <w:ilvl w:val="0"/>
                <w:numId w:val="1"/>
              </w:numPr>
              <w:spacing w:lineRule="auto" w:line="240" w:before="0" w:after="0"/>
              <w:rPr>
                <w:rFonts w:ascii="CMU Sans Serif" w:hAnsi="CMU Sans Serif"/>
                <w:b w:val="false"/>
                <w:b w:val="false"/>
                <w:bCs w:val="false"/>
                <w:sz w:val="22"/>
                <w:szCs w:val="22"/>
              </w:rPr>
            </w:pPr>
            <w:r>
              <w:rPr>
                <w:rFonts w:eastAsia="Calibri" w:cs="Times New Roman" w:ascii="CMU Sans Serif" w:hAnsi="CMU Sans Serif"/>
                <w:b w:val="false"/>
                <w:bCs w:val="false"/>
                <w:sz w:val="22"/>
                <w:szCs w:val="22"/>
                <w:u w:val="none"/>
                <w:lang w:val="cs-CZ" w:eastAsia="ru-RU"/>
              </w:rPr>
              <w:t>(Skipped due to covid)</w:t>
            </w:r>
          </w:p>
          <w:p>
            <w:pPr>
              <w:pStyle w:val="Normal"/>
              <w:numPr>
                <w:ilvl w:val="0"/>
                <w:numId w:val="1"/>
              </w:numPr>
              <w:spacing w:lineRule="auto" w:line="240" w:before="0" w:after="0"/>
              <w:rPr>
                <w:rFonts w:ascii="CMU Sans Serif" w:hAnsi="CMU Sans Serif"/>
                <w:b w:val="false"/>
                <w:b w:val="false"/>
                <w:bCs w:val="false"/>
                <w:sz w:val="22"/>
                <w:szCs w:val="22"/>
              </w:rPr>
            </w:pPr>
            <w:r>
              <w:rPr>
                <w:rFonts w:eastAsia="Calibri" w:cs="Times New Roman" w:ascii="CMU Sans Serif" w:hAnsi="CMU Sans Serif"/>
                <w:b w:val="false"/>
                <w:bCs w:val="false"/>
                <w:sz w:val="22"/>
                <w:szCs w:val="22"/>
                <w:u w:val="none"/>
                <w:lang w:val="cs-CZ" w:eastAsia="ru-RU"/>
              </w:rPr>
              <w:t>2021: Tokamak GOLEM for fusion education - chapter 12</w:t>
            </w:r>
            <w:r>
              <w:rPr>
                <w:rFonts w:eastAsia="Calibri" w:cs="TeX Gyre Termes Math" w:ascii="CMU Sans Serif" w:hAnsi="CMU Sans Serif"/>
                <w:b w:val="false"/>
                <w:bCs w:val="false"/>
                <w:sz w:val="22"/>
                <w:szCs w:val="22"/>
                <w:u w:val="none"/>
                <w:lang w:val="cs-CZ" w:eastAsia="ru-RU"/>
              </w:rPr>
              <w:t>[Mac21]</w:t>
            </w:r>
          </w:p>
          <w:p>
            <w:pPr>
              <w:pStyle w:val="Normal"/>
              <w:numPr>
                <w:ilvl w:val="0"/>
                <w:numId w:val="1"/>
              </w:numPr>
              <w:spacing w:lineRule="auto" w:line="240" w:before="0" w:after="0"/>
              <w:rPr>
                <w:rFonts w:ascii="CMU Sans Serif" w:hAnsi="CMU Sans Serif"/>
                <w:b w:val="false"/>
                <w:b w:val="false"/>
                <w:bCs w:val="false"/>
                <w:sz w:val="22"/>
                <w:szCs w:val="22"/>
              </w:rPr>
            </w:pPr>
            <w:r>
              <w:rPr>
                <w:rFonts w:eastAsia="Calibri" w:cs="Times New Roman" w:ascii="CMU Sans Serif" w:hAnsi="CMU Sans Serif"/>
                <w:b w:val="false"/>
                <w:bCs w:val="false"/>
                <w:i w:val="false"/>
                <w:iCs w:val="false"/>
                <w:caps w:val="false"/>
                <w:smallCaps w:val="false"/>
                <w:color w:val="212121"/>
                <w:spacing w:val="0"/>
                <w:sz w:val="22"/>
                <w:szCs w:val="22"/>
                <w:u w:val="none"/>
                <w:lang w:val="cs-CZ" w:eastAsia="ru-RU"/>
              </w:rPr>
              <w:t>2022: Tokamak GOLEM for fusion education - chapter 13[Mac22a]</w:t>
            </w:r>
          </w:p>
          <w:p>
            <w:pPr>
              <w:pStyle w:val="Normal"/>
              <w:spacing w:before="0" w:after="0"/>
              <w:rPr>
                <w:rFonts w:ascii="CMU Sans Serif" w:hAnsi="CMU Sans Serif" w:eastAsia="Calibri" w:cs="Times New Roman"/>
                <w:b w:val="false"/>
                <w:b w:val="false"/>
                <w:bCs/>
                <w:sz w:val="22"/>
                <w:szCs w:val="22"/>
                <w:u w:val="none"/>
                <w:lang w:val="cs-CZ" w:eastAsia="ru-RU"/>
              </w:rPr>
            </w:pPr>
            <w:r>
              <w:rPr>
                <w:rFonts w:eastAsia="Calibri" w:cs="Times New Roman" w:ascii="CMU Sans Serif" w:hAnsi="CMU Sans Serif"/>
                <w:b w:val="false"/>
                <w:bCs/>
                <w:sz w:val="22"/>
                <w:szCs w:val="22"/>
                <w:u w:val="none"/>
                <w:lang w:val="cs-CZ" w:eastAsia="ru-RU"/>
              </w:rPr>
            </w:r>
          </w:p>
          <w:p>
            <w:pPr>
              <w:pStyle w:val="Normal"/>
              <w:spacing w:before="0" w:after="0"/>
              <w:rPr>
                <w:rFonts w:ascii="CMU Sans Serif" w:hAnsi="CMU Sans Serif"/>
                <w:b w:val="false"/>
                <w:b w:val="false"/>
                <w:bCs w:val="false"/>
                <w:sz w:val="22"/>
                <w:szCs w:val="22"/>
                <w:u w:val="single"/>
              </w:rPr>
            </w:pPr>
            <w:r>
              <w:rPr>
                <w:rFonts w:ascii="CMU Sans Serif" w:hAnsi="CMU Sans Serif"/>
                <w:b w:val="false"/>
                <w:bCs w:val="false"/>
                <w:sz w:val="22"/>
                <w:szCs w:val="22"/>
                <w:u w:val="single"/>
              </w:rPr>
              <w:t>III. Online experimentation at the GOLEM tokamak</w:t>
            </w:r>
          </w:p>
          <w:p>
            <w:pPr>
              <w:pStyle w:val="Normal"/>
              <w:spacing w:before="0" w:after="0"/>
              <w:rPr>
                <w:rFonts w:ascii="CMU Sans Serif" w:hAnsi="CMU Sans Serif"/>
                <w:sz w:val="22"/>
                <w:szCs w:val="22"/>
              </w:rPr>
            </w:pPr>
            <w:r>
              <w:rPr>
                <w:rFonts w:eastAsia="Calibri" w:cs="Times New Roman" w:ascii="CMU Sans Serif" w:hAnsi="CMU Sans Serif"/>
                <w:b w:val="false"/>
                <w:bCs/>
                <w:sz w:val="22"/>
                <w:szCs w:val="22"/>
                <w:u w:val="none"/>
                <w:lang w:val="cs-CZ" w:eastAsia="ru-RU"/>
              </w:rPr>
              <w:t xml:space="preserve">The GOLEM tokamak offers students and other interested parties the opportunity to gain “hands-on” experience through online experimentation in the field of plasma physics and controlled thermonuclear fusion in tokamaks.  More info at [GSS19a, GSS19b] </w:t>
            </w:r>
          </w:p>
          <w:p>
            <w:pPr>
              <w:pStyle w:val="TextBody"/>
              <w:spacing w:lineRule="auto" w:line="240" w:before="0" w:after="0"/>
              <w:ind w:left="0" w:right="0" w:hanging="0"/>
              <w:contextualSpacing/>
              <w:rPr>
                <w:rFonts w:ascii="CMU Sans Serif" w:hAnsi="CMU Sans Serif" w:eastAsia="Calibri" w:cs="Times New Roman"/>
                <w:b/>
                <w:b/>
                <w:bCs/>
                <w:sz w:val="22"/>
                <w:szCs w:val="22"/>
                <w:lang w:val="cs-CZ" w:eastAsia="ru-RU"/>
              </w:rPr>
            </w:pPr>
            <w:r>
              <w:rPr>
                <w:rFonts w:eastAsia="Calibri" w:cs="Times New Roman" w:ascii="CMU Sans Serif" w:hAnsi="CMU Sans Serif"/>
                <w:b/>
                <w:bCs/>
                <w:sz w:val="22"/>
                <w:szCs w:val="22"/>
                <w:lang w:val="cs-CZ" w:eastAsia="ru-RU"/>
              </w:rPr>
            </w:r>
          </w:p>
          <w:p>
            <w:pPr>
              <w:pStyle w:val="Normal"/>
              <w:spacing w:lineRule="auto" w:line="240" w:before="0" w:after="0"/>
              <w:ind w:left="0" w:right="0" w:hanging="0"/>
              <w:rPr>
                <w:rFonts w:ascii="CMU Sans Serif" w:hAnsi="CMU Sans Serif"/>
                <w:b w:val="false"/>
                <w:b w:val="false"/>
                <w:bCs w:val="false"/>
                <w:sz w:val="22"/>
                <w:szCs w:val="22"/>
                <w:u w:val="single"/>
              </w:rPr>
            </w:pPr>
            <w:r>
              <w:rPr>
                <w:rFonts w:eastAsia="Calibri" w:cs="Times New Roman" w:ascii="CMU Sans Serif" w:hAnsi="CMU Sans Serif"/>
                <w:b w:val="false"/>
                <w:bCs w:val="false"/>
                <w:sz w:val="22"/>
                <w:szCs w:val="22"/>
                <w:u w:val="single"/>
                <w:lang w:val="cs-CZ" w:eastAsia="ru-RU"/>
              </w:rPr>
              <w:t>IV. Education and training of students</w:t>
            </w:r>
          </w:p>
          <w:p>
            <w:pPr>
              <w:pStyle w:val="Normal"/>
              <w:spacing w:lineRule="auto" w:line="240" w:before="0" w:after="0"/>
              <w:ind w:left="0" w:right="0" w:hanging="0"/>
              <w:rPr>
                <w:rFonts w:ascii="CMU Sans Serif" w:hAnsi="CMU Sans Serif"/>
                <w:sz w:val="22"/>
                <w:szCs w:val="22"/>
              </w:rPr>
            </w:pPr>
            <w:r>
              <w:rPr>
                <w:rFonts w:eastAsia="Calibri" w:cs="Times New Roman" w:ascii="CMU Sans Serif" w:hAnsi="CMU Sans Serif"/>
                <w:b w:val="false"/>
                <w:bCs/>
                <w:sz w:val="22"/>
                <w:szCs w:val="22"/>
                <w:u w:val="none"/>
                <w:lang w:val="cs-CZ" w:eastAsia="ru-RU"/>
              </w:rPr>
              <w:t>* Experiments related to CRP project triggered 4 bachelor projects and 3 master thesis at the Czech Technical University</w:t>
            </w:r>
          </w:p>
          <w:p>
            <w:pPr>
              <w:pStyle w:val="Normal"/>
              <w:spacing w:lineRule="auto" w:line="240" w:before="0" w:after="0"/>
              <w:ind w:left="0" w:right="0" w:hanging="0"/>
              <w:rPr>
                <w:rFonts w:ascii="CMU Sans Serif" w:hAnsi="CMU Sans Serif"/>
                <w:sz w:val="22"/>
                <w:szCs w:val="22"/>
              </w:rPr>
            </w:pPr>
            <w:r>
              <w:rPr>
                <w:rFonts w:eastAsia="Calibri" w:cs="Times New Roman" w:ascii="CMU Sans Serif" w:hAnsi="CMU Sans Serif"/>
                <w:b w:val="false"/>
                <w:bCs/>
                <w:sz w:val="22"/>
                <w:szCs w:val="22"/>
                <w:u w:val="none"/>
                <w:lang w:val="cs-CZ" w:eastAsia="ru-RU"/>
              </w:rPr>
              <w:t>* Every year 3-5 hands-on/ on site tokamak GOLEM projects are produced for CTU Prague university students.</w:t>
            </w:r>
          </w:p>
          <w:p>
            <w:pPr>
              <w:pStyle w:val="Normal"/>
              <w:spacing w:lineRule="auto" w:line="240" w:before="0" w:after="0"/>
              <w:ind w:left="0" w:right="0" w:hanging="0"/>
              <w:rPr>
                <w:rFonts w:ascii="CMU Sans Serif" w:hAnsi="CMU Sans Serif"/>
                <w:sz w:val="22"/>
                <w:szCs w:val="22"/>
              </w:rPr>
            </w:pPr>
            <w:r>
              <w:rPr>
                <w:rFonts w:eastAsia="Calibri" w:cs="Times New Roman" w:ascii="CMU Sans Serif" w:hAnsi="CMU Sans Serif"/>
                <w:b w:val="false"/>
                <w:bCs/>
                <w:sz w:val="22"/>
                <w:szCs w:val="22"/>
                <w:u w:val="none"/>
                <w:lang w:val="cs-CZ" w:eastAsia="ru-RU"/>
              </w:rPr>
              <w:t>* Approx 6 projects for extremely skilled high school students were completed.</w:t>
            </w:r>
          </w:p>
          <w:p>
            <w:pPr>
              <w:pStyle w:val="Normal"/>
              <w:spacing w:lineRule="auto" w:line="240" w:before="0" w:after="0"/>
              <w:ind w:left="0" w:right="0" w:hanging="0"/>
              <w:rPr>
                <w:rFonts w:ascii="CMU Sans Serif" w:hAnsi="CMU Sans Serif"/>
                <w:sz w:val="22"/>
                <w:szCs w:val="22"/>
              </w:rPr>
            </w:pPr>
            <w:r>
              <w:rPr>
                <w:rFonts w:eastAsia="Calibri" w:cs="Times New Roman" w:ascii="CMU Sans Serif" w:hAnsi="CMU Sans Serif"/>
                <w:b w:val="false"/>
                <w:bCs/>
                <w:sz w:val="22"/>
                <w:szCs w:val="22"/>
                <w:u w:val="none"/>
                <w:lang w:val="cs-CZ" w:eastAsia="ru-RU"/>
              </w:rPr>
              <w:t xml:space="preserve">* More then 30 training courses of students has also been performed remotely, exploiting a unique feature of the GOLEM tokamak, which can be operated remotely via Internet. </w:t>
            </w:r>
          </w:p>
          <w:p>
            <w:pPr>
              <w:pStyle w:val="ListParagraph"/>
              <w:spacing w:lineRule="auto" w:line="240" w:before="0" w:after="0"/>
              <w:ind w:left="0" w:hanging="0"/>
              <w:contextualSpacing/>
              <w:rPr>
                <w:rFonts w:ascii="Calibri" w:hAnsi="Calibri"/>
                <w:sz w:val="20"/>
                <w:szCs w:val="20"/>
              </w:rPr>
            </w:pPr>
            <w:r>
              <w:rPr/>
            </w:r>
            <w:r>
              <w:rPr/>
              <w:fldChar w:fldCharType="end"/>
            </w:r>
          </w:p>
          <w:p>
            <w:pPr>
              <w:pStyle w:val="ListParagraph"/>
              <w:spacing w:lineRule="auto" w:line="240" w:before="0" w:after="0"/>
              <w:ind w:left="0" w:hanging="0"/>
              <w:contextualSpacing/>
              <w:rPr>
                <w:sz w:val="20"/>
                <w:szCs w:val="20"/>
              </w:rPr>
            </w:pPr>
            <w:r>
              <w:rPr>
                <w:sz w:val="20"/>
                <w:szCs w:val="20"/>
              </w:rPr>
            </w:r>
          </w:p>
        </w:tc>
      </w:tr>
      <w:tr>
        <w:trPr/>
        <w:tc>
          <w:tcPr>
            <w:tcW w:w="9276" w:type="dxa"/>
            <w:tcBorders/>
          </w:tcPr>
          <w:p>
            <w:pPr>
              <w:pStyle w:val="ListParagraph"/>
              <w:numPr>
                <w:ilvl w:val="0"/>
                <w:numId w:val="2"/>
              </w:numPr>
              <w:spacing w:lineRule="auto" w:line="240" w:before="0" w:after="0"/>
              <w:contextualSpacing/>
              <w:rPr>
                <w:sz w:val="20"/>
                <w:szCs w:val="20"/>
              </w:rPr>
            </w:pPr>
            <w:r>
              <w:rPr>
                <w:sz w:val="20"/>
                <w:szCs w:val="20"/>
              </w:rPr>
              <w:t>Detailed results achieved in comparison with the planned programme of work, including quantitative data if applicable (</w:t>
            </w:r>
            <w:r>
              <w:rPr>
                <w:i/>
                <w:sz w:val="20"/>
                <w:szCs w:val="20"/>
              </w:rPr>
              <w:t>please attach appropriate technical documents if needed</w:t>
            </w:r>
            <w:r>
              <w:rPr>
                <w:sz w:val="20"/>
                <w:szCs w:val="20"/>
              </w:rPr>
              <w:t>):</w:t>
            </w:r>
          </w:p>
          <w:p>
            <w:pPr>
              <w:pStyle w:val="Normal"/>
              <w:spacing w:lineRule="auto" w:line="240" w:before="0" w:after="0"/>
              <w:rPr>
                <w:sz w:val="20"/>
                <w:szCs w:val="20"/>
              </w:rPr>
            </w:pPr>
            <w:r>
              <w:fldChar w:fldCharType="begin">
                <w:ffData>
                  <w:name w:val="Bookmark10"/>
                  <w:enabled/>
                  <w:calcOnExit w:val="0"/>
                  <w:textInput/>
                </w:ffData>
              </w:fldChar>
            </w:r>
            <w:r>
              <w:rPr/>
              <w:instrText> FORMTEXT </w:instrText>
            </w:r>
            <w:r>
              <w:rPr/>
            </w:r>
          </w:p>
          <w:p>
            <w:pPr>
              <w:pStyle w:val="Normal"/>
              <w:spacing w:lineRule="auto" w:line="240" w:before="0" w:after="0"/>
              <w:rPr>
                <w:sz w:val="20"/>
                <w:szCs w:val="20"/>
              </w:rPr>
            </w:pPr>
            <w:r>
              <w:rPr/>
              <w:fldChar w:fldCharType="separate"/>
            </w:r>
            <w:r>
              <w:rPr/>
            </w:r>
            <w:r>
              <w:rPr>
                <w:sz w:val="20"/>
                <w:szCs w:val="20"/>
              </w:rPr>
              <w:t xml:space="preserve">    The Tokamak Golem is proving to be a very good device for testing various advanced diagnostic techniques in the field of edge plasma and </w:t>
            </w:r>
            <w:r>
              <w:rPr>
                <w:sz w:val="20"/>
                <w:szCs w:val="20"/>
              </w:rPr>
              <w:t>runaway</w:t>
            </w:r>
            <w:r>
              <w:rPr>
                <w:sz w:val="20"/>
                <w:szCs w:val="20"/>
              </w:rPr>
              <w:t xml:space="preserve"> electron physics. Electrostatic probes </w:t>
            </w:r>
            <w:r>
              <w:rPr>
                <w:sz w:val="20"/>
                <w:szCs w:val="20"/>
              </w:rPr>
              <w:t xml:space="preserve">(Rail probe, Ball pen probe, Double rake probe, Mach probe, Tunnel probe </w:t>
            </w:r>
            <w:r>
              <w:rPr>
                <w:sz w:val="20"/>
                <w:szCs w:val="20"/>
              </w:rPr>
              <w:t xml:space="preserve">and a whole series of hard X-ray detectors </w:t>
            </w:r>
            <w:r>
              <w:rPr>
                <w:sz w:val="20"/>
                <w:szCs w:val="20"/>
              </w:rPr>
              <w:t xml:space="preserve">(Strip and Timepix semiconductor detectors, scintillation probes with NaI(Tl), YAP, LySO, CeBr3 crystals) </w:t>
            </w:r>
            <w:r>
              <w:rPr>
                <w:sz w:val="20"/>
                <w:szCs w:val="20"/>
              </w:rPr>
              <w:t xml:space="preserve">were successfully tested here </w:t>
            </w:r>
            <w:r>
              <w:rPr>
                <w:sz w:val="20"/>
                <w:szCs w:val="20"/>
              </w:rPr>
              <w:t xml:space="preserve">in various tokamak regimes. </w:t>
            </w:r>
            <w:r>
              <w:rPr>
                <w:sz w:val="20"/>
                <w:szCs w:val="20"/>
              </w:rPr>
              <w:t>For detailed results, see GOLEM_biblio_IAEA.pdf</w:t>
            </w:r>
            <w:r>
              <w:rPr>
                <w:sz w:val="20"/>
                <w:szCs w:val="20"/>
              </w:rPr>
              <w:t xml:space="preserve"> and </w:t>
            </w:r>
            <w:r>
              <w:rPr>
                <w:sz w:val="20"/>
                <w:szCs w:val="20"/>
              </w:rPr>
              <w:t>attached journal and conference contributions. </w:t>
            </w:r>
            <w:r>
              <w:rPr/>
            </w:r>
            <w:r>
              <w:rPr/>
              <w:fldChar w:fldCharType="end"/>
            </w:r>
          </w:p>
          <w:p>
            <w:pPr>
              <w:pStyle w:val="Normal"/>
              <w:spacing w:lineRule="auto" w:line="240" w:before="0" w:after="0"/>
              <w:rPr>
                <w:sz w:val="20"/>
                <w:szCs w:val="20"/>
              </w:rPr>
            </w:pPr>
            <w:r>
              <w:rPr>
                <w:sz w:val="20"/>
                <w:szCs w:val="20"/>
              </w:rPr>
            </w:r>
          </w:p>
        </w:tc>
      </w:tr>
      <w:tr>
        <w:trPr/>
        <w:tc>
          <w:tcPr>
            <w:tcW w:w="9276" w:type="dxa"/>
            <w:tcBorders/>
          </w:tcPr>
          <w:p>
            <w:pPr>
              <w:pStyle w:val="ListParagraph"/>
              <w:numPr>
                <w:ilvl w:val="0"/>
                <w:numId w:val="2"/>
              </w:numPr>
              <w:spacing w:lineRule="auto" w:line="240" w:before="0" w:after="0"/>
              <w:contextualSpacing/>
              <w:rPr>
                <w:rFonts w:ascii="Times New Roman" w:hAnsi="Times New Roman" w:eastAsia="Times New Roman" w:cs="Times New Roman"/>
                <w:bCs/>
                <w:sz w:val="20"/>
                <w:szCs w:val="20"/>
              </w:rPr>
            </w:pPr>
            <w:r>
              <w:rPr>
                <w:sz w:val="20"/>
                <w:szCs w:val="20"/>
              </w:rPr>
              <w:t xml:space="preserve">Papers published and dissemination at national and international conferences on the Project or parts thereof performed under this Contract </w:t>
            </w:r>
            <w:r>
              <w:rPr>
                <w:i/>
                <w:sz w:val="20"/>
                <w:szCs w:val="20"/>
              </w:rPr>
              <w:t>(please enter a web-link or attach copies to this final report)</w:t>
            </w:r>
            <w:r>
              <w:rPr>
                <w:sz w:val="20"/>
                <w:szCs w:val="20"/>
              </w:rPr>
              <w:t>:</w:t>
            </w:r>
          </w:p>
          <w:p>
            <w:pPr>
              <w:pStyle w:val="Normal"/>
              <w:spacing w:lineRule="auto" w:line="240" w:before="0" w:after="0"/>
              <w:rPr>
                <w:sz w:val="20"/>
                <w:szCs w:val="20"/>
              </w:rPr>
            </w:pPr>
            <w:r>
              <w:fldChar w:fldCharType="begin">
                <w:ffData>
                  <w:name w:val="Bookmark11"/>
                  <w:enabled/>
                  <w:calcOnExit w:val="0"/>
                  <w:textInput/>
                </w:ffData>
              </w:fldChar>
            </w:r>
            <w:r>
              <w:rPr/>
              <w:instrText> FORMTEXT </w:instrText>
            </w:r>
            <w:r>
              <w:rPr/>
            </w:r>
            <w:r>
              <w:rPr/>
              <w:fldChar w:fldCharType="separate"/>
            </w:r>
            <w:r>
              <w:rPr/>
            </w:r>
            <w:r>
              <w:rPr>
                <w:sz w:val="20"/>
                <w:szCs w:val="20"/>
              </w:rPr>
              <w:t>[1] J. Cerovsky, O. Ficker, V. Svoboda, E. Macusova, J. Mlynar, J. Caloud, V. Weinzettl, and M. Hron, “Progress in HXR</w:t>
            </w:r>
          </w:p>
          <w:p>
            <w:pPr>
              <w:pStyle w:val="Normal"/>
              <w:spacing w:lineRule="auto" w:line="240" w:before="0" w:after="0"/>
              <w:rPr>
                <w:sz w:val="20"/>
                <w:szCs w:val="20"/>
              </w:rPr>
            </w:pPr>
            <w:r>
              <w:rPr>
                <w:sz w:val="20"/>
                <w:szCs w:val="20"/>
              </w:rPr>
              <w:t>diagnostics at Golem and COMPASS tokamaks,” Journal of Instrumentation, vol. 17, no. 01, p. C01033, 2022. doi: 10.1088/</w:t>
            </w:r>
          </w:p>
          <w:p>
            <w:pPr>
              <w:pStyle w:val="Normal"/>
              <w:spacing w:lineRule="auto" w:line="240" w:before="0" w:after="0"/>
              <w:rPr>
                <w:sz w:val="20"/>
                <w:szCs w:val="20"/>
              </w:rPr>
            </w:pPr>
            <w:r>
              <w:rPr>
                <w:sz w:val="20"/>
                <w:szCs w:val="20"/>
              </w:rPr>
              <w:t>1748-0221/17/01/c01033. [Online]. Available: https://doi.org/10.1088/1748-0221/17/01/c01033.</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[2] S. Kulkov, M. Marcisovsky, P. Svihra, M. Tunkl, M. van Beuzekom, J. Caloud, J. Cerovsky, O. Ficker, E. Macusova, J.</w:t>
            </w:r>
          </w:p>
          <w:p>
            <w:pPr>
              <w:pStyle w:val="Normal"/>
              <w:spacing w:lineRule="auto" w:line="240" w:before="0" w:after="0"/>
              <w:rPr>
                <w:sz w:val="20"/>
                <w:szCs w:val="20"/>
              </w:rPr>
            </w:pPr>
            <w:r>
              <w:rPr>
                <w:sz w:val="20"/>
                <w:szCs w:val="20"/>
              </w:rPr>
              <w:t>Mlynar, V. Weinzettl, and V. Svoboda, “Detection of runaway electrons at the COMPASS tokamak using a Timepix3-based</w:t>
            </w:r>
          </w:p>
          <w:p>
            <w:pPr>
              <w:pStyle w:val="Normal"/>
              <w:spacing w:lineRule="auto" w:line="240" w:before="0" w:after="0"/>
              <w:rPr>
                <w:sz w:val="20"/>
                <w:szCs w:val="20"/>
              </w:rPr>
            </w:pPr>
            <w:r>
              <w:rPr>
                <w:sz w:val="20"/>
                <w:szCs w:val="20"/>
              </w:rPr>
              <w:t>semiconductor detector,” Journal of Instrumentation, vol. 17, no. 02, P02030, 2022. doi: 10.1088/1748-0221/17/02/p02030.</w:t>
            </w:r>
          </w:p>
          <w:p>
            <w:pPr>
              <w:pStyle w:val="Normal"/>
              <w:spacing w:lineRule="auto" w:line="240" w:before="0" w:after="0"/>
              <w:rPr>
                <w:sz w:val="20"/>
                <w:szCs w:val="20"/>
              </w:rPr>
            </w:pPr>
            <w:r>
              <w:rPr>
                <w:sz w:val="20"/>
                <w:szCs w:val="20"/>
              </w:rPr>
              <w:t>[Online]. Available: https://doi.org/10.1088/1748-0221/17/02/p02030.</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[3] G Sarancha, V Svoboda, J Stockel, and A Melnikov, “Magnetic turbulence and long-range correlation studies in the Golem</w:t>
            </w:r>
          </w:p>
          <w:p>
            <w:pPr>
              <w:pStyle w:val="Normal"/>
              <w:spacing w:lineRule="auto" w:line="240" w:before="0" w:after="0"/>
              <w:rPr>
                <w:sz w:val="20"/>
                <w:szCs w:val="20"/>
              </w:rPr>
            </w:pPr>
            <w:r>
              <w:rPr>
                <w:sz w:val="20"/>
                <w:szCs w:val="20"/>
              </w:rPr>
              <w:t>tokamak,” Journal of Physics: Conference Series, vol. 2055, no. 1, p. 012 003, 2021. doi: 10.1088/1742-6596/2055/1/012003.</w:t>
            </w:r>
          </w:p>
          <w:p>
            <w:pPr>
              <w:pStyle w:val="Normal"/>
              <w:spacing w:lineRule="auto" w:line="240" w:before="0" w:after="0"/>
              <w:rPr>
                <w:sz w:val="20"/>
                <w:szCs w:val="20"/>
              </w:rPr>
            </w:pPr>
            <w:r>
              <w:rPr>
                <w:sz w:val="20"/>
                <w:szCs w:val="20"/>
              </w:rPr>
              <w:t>[Online]. Available: https://doi.org/10.1088/1742-6596/2055/1/012003.</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[4] G. Sarancha, A. Drozd, I. Emekeev, S. Ganin, D. Kropachkova, I. Kudashev, V. Kulagin, M. Lauerova, A. Melnikov, N.</w:t>
            </w:r>
          </w:p>
          <w:p>
            <w:pPr>
              <w:pStyle w:val="Normal"/>
              <w:spacing w:lineRule="auto" w:line="240" w:before="0" w:after="0"/>
              <w:rPr>
                <w:sz w:val="20"/>
                <w:szCs w:val="20"/>
              </w:rPr>
            </w:pPr>
            <w:r>
              <w:rPr>
                <w:sz w:val="20"/>
                <w:szCs w:val="20"/>
              </w:rPr>
              <w:t>Sergeev, O. Krokhalev, J. Stockel, and V. Svoboda, “Hydrogen and helium discharges in the Golem tokamak,” Problems Of</w:t>
            </w:r>
          </w:p>
          <w:p>
            <w:pPr>
              <w:pStyle w:val="Normal"/>
              <w:spacing w:lineRule="auto" w:line="240" w:before="0" w:after="0"/>
              <w:rPr>
                <w:sz w:val="20"/>
                <w:szCs w:val="20"/>
              </w:rPr>
            </w:pPr>
            <w:r>
              <w:rPr>
                <w:sz w:val="20"/>
                <w:szCs w:val="20"/>
              </w:rPr>
              <w:t>Atomic Science And Technology, Ser. Thermonuclear Fusion, vol. 4, pp. 92–110, 2021. doi: 10.21517/0202-3822-2021-444-92-110. [Online]. Available: https://doi.org/10.21517/0202-3822-2021-44-4-92-110.</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[5] Y. Siusko, V. Svoboda, J. Stockel, I. Garkusha, D. Solyakov, I. Girka, V. Volkov, D. Bondar, V. Kondratenko, A. Boychenko,</w:t>
            </w:r>
          </w:p>
          <w:p>
            <w:pPr>
              <w:pStyle w:val="Normal"/>
              <w:spacing w:lineRule="auto" w:line="240" w:before="0" w:after="0"/>
              <w:rPr>
                <w:sz w:val="20"/>
                <w:szCs w:val="20"/>
              </w:rPr>
            </w:pPr>
            <w:r>
              <w:rPr>
                <w:sz w:val="20"/>
                <w:szCs w:val="20"/>
              </w:rPr>
              <w:t>A. Krupka, D. Boloto, D. Drozdov, O. Salmin, and A. Shchibrya, “Breakdown phase in the Golem tokamak and its impact</w:t>
            </w:r>
          </w:p>
          <w:p>
            <w:pPr>
              <w:pStyle w:val="Normal"/>
              <w:spacing w:lineRule="auto" w:line="240" w:before="0" w:after="0"/>
              <w:rPr>
                <w:sz w:val="20"/>
                <w:szCs w:val="20"/>
              </w:rPr>
            </w:pPr>
            <w:r>
              <w:rPr>
                <w:sz w:val="20"/>
                <w:szCs w:val="20"/>
              </w:rPr>
              <w:t>on plasma performance,” Ukrainian Journal of Physics, vol. 66, no. 3, pp. 231–239, 2021. [Online]. Available: https://ujp.</w:t>
            </w:r>
          </w:p>
          <w:p>
            <w:pPr>
              <w:pStyle w:val="Normal"/>
              <w:spacing w:lineRule="auto" w:line="240" w:before="0" w:after="0"/>
              <w:rPr>
                <w:sz w:val="20"/>
                <w:szCs w:val="20"/>
              </w:rPr>
            </w:pPr>
            <w:r>
              <w:rPr>
                <w:sz w:val="20"/>
                <w:szCs w:val="20"/>
              </w:rPr>
              <w:t>bitp.kiev.ua/index.php/ujp/article/view/2020180.</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[6] M. Gryaznevich, J. Stöckel, G. V. Oost, E. D. Bosco, V. Svoboda, A. Melnikov, R. Kamendje, A. Malaquias, G. Mank,</w:t>
            </w:r>
          </w:p>
          <w:p>
            <w:pPr>
              <w:pStyle w:val="Normal"/>
              <w:spacing w:lineRule="auto" w:line="240" w:before="0" w:after="0"/>
              <w:rPr>
                <w:sz w:val="20"/>
                <w:szCs w:val="20"/>
              </w:rPr>
            </w:pPr>
            <w:r>
              <w:rPr>
                <w:sz w:val="20"/>
                <w:szCs w:val="20"/>
              </w:rPr>
              <w:t>and R. Miklaszewski, “Contribution of joint experiments on small tokamaks in the framework of IAEA coordinated research</w:t>
            </w:r>
          </w:p>
          <w:p>
            <w:pPr>
              <w:pStyle w:val="Normal"/>
              <w:spacing w:lineRule="auto" w:line="240" w:before="0" w:after="0"/>
              <w:rPr>
                <w:sz w:val="20"/>
                <w:szCs w:val="20"/>
              </w:rPr>
            </w:pPr>
            <w:r>
              <w:rPr>
                <w:sz w:val="20"/>
                <w:szCs w:val="20"/>
              </w:rPr>
              <w:t>projects to mainstream fusion research,” Plasma Science and Technology, vol. 22, no. 5, p. 055 102, 2020. doi: 10.1088/20586272/ab6d4d. [Online]. Available: https://doi.org/10.1088%2F2058-6272%2Fab6d4d.</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[7] L. Novotny, J. Cerovsky, P. Dhyani, O. Ficker, M. Havranek, M. Hejtmanek, Z. Janoska, V. Kafka, S. Kulkov, M. Marcisovska,</w:t>
            </w:r>
          </w:p>
          <w:p>
            <w:pPr>
              <w:pStyle w:val="Normal"/>
              <w:spacing w:lineRule="auto" w:line="240" w:before="0" w:after="0"/>
              <w:rPr>
                <w:sz w:val="20"/>
                <w:szCs w:val="20"/>
              </w:rPr>
            </w:pPr>
            <w:r>
              <w:rPr>
                <w:sz w:val="20"/>
                <w:szCs w:val="20"/>
              </w:rPr>
              <w:t>M. Marcisovsky, G. Neue, P. Svihra, V. Svoboda, L. Tomasek, M. Tunkl, and V. Vrba, “Runaway electron diagnostics</w:t>
            </w:r>
          </w:p>
          <w:p>
            <w:pPr>
              <w:pStyle w:val="Normal"/>
              <w:spacing w:lineRule="auto" w:line="240" w:before="0" w:after="0"/>
              <w:rPr>
                <w:sz w:val="20"/>
                <w:szCs w:val="20"/>
              </w:rPr>
            </w:pPr>
            <w:r>
              <w:rPr>
                <w:sz w:val="20"/>
                <w:szCs w:val="20"/>
              </w:rPr>
              <w:t>using silicon strip detector,” Journal of Instrumentation, vol. 15, no. 07, pp. C07015–C07015, 2020. doi: 10.1088/17480221/15/07/c07015. [Online]. Available: https://doi.org/10.1088%2F1748-0221%2F15%2F07%2Fc07015.</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[8] P. Dhyani, V. Svoboda, V. Istokskaia, J. Mlynar, J. Cerovsky, O. Ficker, and V. Linhart, “Study of runaway electrons in Golem</w:t>
            </w:r>
          </w:p>
          <w:p>
            <w:pPr>
              <w:pStyle w:val="Normal"/>
              <w:spacing w:lineRule="auto" w:line="240" w:before="0" w:after="0"/>
              <w:rPr>
                <w:sz w:val="20"/>
                <w:szCs w:val="20"/>
              </w:rPr>
            </w:pPr>
            <w:r>
              <w:rPr>
                <w:sz w:val="20"/>
                <w:szCs w:val="20"/>
              </w:rPr>
              <w:t>tokamak,” Journal of Instrumentation, vol. 14, no. 09, pp. C09029–C09029, 2019. doi: 10.1088/1748-0221/14/09/c09029.</w:t>
            </w:r>
          </w:p>
          <w:p>
            <w:pPr>
              <w:pStyle w:val="Normal"/>
              <w:spacing w:lineRule="auto" w:line="240" w:before="0" w:after="0"/>
              <w:rPr>
                <w:sz w:val="20"/>
                <w:szCs w:val="20"/>
              </w:rPr>
            </w:pPr>
            <w:r>
              <w:rPr>
                <w:sz w:val="20"/>
                <w:szCs w:val="20"/>
              </w:rPr>
              <w:t>[Online]. Available: https://doi.org/10.1088%2F1748-0221%2F14%2F09%2Fc09029.</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[9] J. Stockel, V. Svoboda, M. Zhekova, M. Dimitrova, P. Marinova, and A. Podolnı́k, “Operational domain in hydrogen plasmas</w:t>
            </w:r>
          </w:p>
          <w:p>
            <w:pPr>
              <w:pStyle w:val="Normal"/>
              <w:spacing w:lineRule="auto" w:line="240" w:before="0" w:after="0"/>
              <w:rPr>
                <w:sz w:val="20"/>
                <w:szCs w:val="20"/>
              </w:rPr>
            </w:pPr>
            <w:r>
              <w:rPr>
                <w:sz w:val="20"/>
                <w:szCs w:val="20"/>
              </w:rPr>
              <w:t>on the Golem tokamak,” Journal of Fusion Energy, 2019, issn: 1572-9591. doi: 10.1007/s10894-019-00215-7.</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[10] P. Svihra, D. Bren, A. Casolari, J. Cerovsky, P. Dhyani, M. Farnik, O. Ficker, M. Havranek, M. Hejtmanek, Z. Janoska, V.</w:t>
            </w:r>
          </w:p>
          <w:p>
            <w:pPr>
              <w:pStyle w:val="Normal"/>
              <w:spacing w:lineRule="auto" w:line="240" w:before="0" w:after="0"/>
              <w:rPr>
                <w:sz w:val="20"/>
                <w:szCs w:val="20"/>
              </w:rPr>
            </w:pPr>
            <w:r>
              <w:rPr>
                <w:sz w:val="20"/>
                <w:szCs w:val="20"/>
              </w:rPr>
              <w:t>Kafka, P. Kulhanek, V. Linhart, E. Macusova, M. Marcisovska, M. Marcisovsky, J. Mlynar, G. Neue, L. Novotny, V. Svoboda,</w:t>
            </w:r>
          </w:p>
          <w:p>
            <w:pPr>
              <w:pStyle w:val="Normal"/>
              <w:spacing w:lineRule="auto" w:line="240" w:before="0" w:after="0"/>
              <w:rPr>
                <w:sz w:val="20"/>
                <w:szCs w:val="20"/>
              </w:rPr>
            </w:pPr>
            <w:r>
              <w:rPr>
                <w:sz w:val="20"/>
                <w:szCs w:val="20"/>
              </w:rPr>
              <w:t>L. Tomasek, J. Urban, P. Vancura, J. Varju, V. Vrba, and V. Weinzettl, “Runaway electrons diagnostics using segmented</w:t>
            </w:r>
          </w:p>
          <w:p>
            <w:pPr>
              <w:pStyle w:val="Normal"/>
              <w:spacing w:lineRule="auto" w:line="240" w:before="0" w:after="0"/>
              <w:rPr>
                <w:sz w:val="20"/>
                <w:szCs w:val="20"/>
              </w:rPr>
            </w:pPr>
            <w:r>
              <w:rPr>
                <w:sz w:val="20"/>
                <w:szCs w:val="20"/>
              </w:rPr>
              <w:t>semiconductor detectors,” Fusion Engineering and Design, 2018, issn: 0920-3796. doi: 10.1016/j.fusengdes.2018.12.054.</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Conference proceedings</w:t>
            </w:r>
          </w:p>
          <w:p>
            <w:pPr>
              <w:pStyle w:val="Normal"/>
              <w:spacing w:lineRule="auto" w:line="240" w:before="0" w:after="0"/>
              <w:rPr>
                <w:sz w:val="20"/>
                <w:szCs w:val="20"/>
              </w:rPr>
            </w:pPr>
            <w:r>
              <w:rPr>
                <w:sz w:val="20"/>
                <w:szCs w:val="20"/>
              </w:rPr>
              <w:t>[11] P. Macha, M. Pokorny, D. Kropackova, M.Humpolec, J. Chlum, K. Wen, M. Tunkl, M. Lauerova, J. Brotankova, J. Stockel,</w:t>
            </w:r>
          </w:p>
          <w:p>
            <w:pPr>
              <w:pStyle w:val="Normal"/>
              <w:spacing w:lineRule="auto" w:line="240" w:before="0" w:after="0"/>
              <w:rPr>
                <w:sz w:val="20"/>
                <w:szCs w:val="20"/>
              </w:rPr>
            </w:pPr>
            <w:r>
              <w:rPr>
                <w:sz w:val="20"/>
                <w:szCs w:val="20"/>
              </w:rPr>
              <w:t>V. Svoboda, S. Kulkov, A. Podolnik, J. Caloud, and S. Malec, “Tokamak Golem for fusion education - chapter 13,” ser. Europhysics conference abstracts, vol. July, 2022. [Online]. Available: https://indico.fusenet.eu/event/28/contributions/</w:t>
            </w:r>
          </w:p>
          <w:p>
            <w:pPr>
              <w:pStyle w:val="Normal"/>
              <w:spacing w:lineRule="auto" w:line="240" w:before="0" w:after="0"/>
              <w:rPr>
                <w:sz w:val="20"/>
                <w:szCs w:val="20"/>
              </w:rPr>
            </w:pPr>
            <w:r>
              <w:rPr>
                <w:sz w:val="20"/>
                <w:szCs w:val="20"/>
              </w:rPr>
              <w:t>164/attachments/178/1152/EPS_2022_golem_article.pdf.</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[12] P. Macha, v. Svoboda, J. Stockel, J. Adamek, and J. Seidl, “Self-induced transport barrier in the helium plasma on the</w:t>
            </w:r>
          </w:p>
          <w:p>
            <w:pPr>
              <w:pStyle w:val="Normal"/>
              <w:spacing w:lineRule="auto" w:line="240" w:before="0" w:after="0"/>
              <w:rPr>
                <w:sz w:val="20"/>
                <w:szCs w:val="20"/>
              </w:rPr>
            </w:pPr>
            <w:r>
              <w:rPr>
                <w:sz w:val="20"/>
                <w:szCs w:val="20"/>
              </w:rPr>
              <w:t>tokamak Golem,” ser. Europhysics conference abstracts, vol. July, 2022. [Online]. Available: https://indico.fusenet.eu/</w:t>
            </w:r>
          </w:p>
          <w:p>
            <w:pPr>
              <w:pStyle w:val="Normal"/>
              <w:spacing w:lineRule="auto" w:line="240" w:before="0" w:after="0"/>
              <w:rPr>
                <w:sz w:val="20"/>
                <w:szCs w:val="20"/>
              </w:rPr>
            </w:pPr>
            <w:r>
              <w:rPr>
                <w:sz w:val="20"/>
                <w:szCs w:val="20"/>
              </w:rPr>
              <w:t>event/28/contributions/64/attachments/78/1153/EPS_2022_article.pdf.</w:t>
            </w:r>
          </w:p>
          <w:p>
            <w:pPr>
              <w:pStyle w:val="Normal"/>
              <w:spacing w:lineRule="auto" w:line="240" w:before="0" w:after="0"/>
              <w:rPr>
                <w:sz w:val="20"/>
                <w:szCs w:val="20"/>
              </w:rPr>
            </w:pPr>
            <w:r>
              <w:rPr/>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[13] P. Macha, K. Hromasova, D. Kropackova, M. Lauerova, A. Socha, J. Malinak, D. Cipciar, J. Cecrdle, V. Svoboda, J. Stockel,</w:t>
            </w:r>
          </w:p>
          <w:p>
            <w:pPr>
              <w:pStyle w:val="Normal"/>
              <w:spacing w:lineRule="auto" w:line="240" w:before="0" w:after="0"/>
              <w:rPr>
                <w:sz w:val="20"/>
                <w:szCs w:val="20"/>
              </w:rPr>
            </w:pPr>
            <w:r>
              <w:rPr>
                <w:sz w:val="20"/>
                <w:szCs w:val="20"/>
              </w:rPr>
              <w:t>J. Adamek, F. Papousek, and L. Lobko, “Tokamak Golem for fusion education - chapter 12,” ser. Europhysics conference</w:t>
            </w:r>
          </w:p>
          <w:p>
            <w:pPr>
              <w:pStyle w:val="Normal"/>
              <w:spacing w:lineRule="auto" w:line="240" w:before="0" w:after="0"/>
              <w:rPr>
                <w:sz w:val="20"/>
                <w:szCs w:val="20"/>
              </w:rPr>
            </w:pPr>
            <w:r>
              <w:rPr>
                <w:sz w:val="20"/>
                <w:szCs w:val="20"/>
              </w:rPr>
              <w:t>abstracts, vol. July, 2021, P4.1028, isbn: 979-10-96389-13-1. [Online]. Available: http://ocs.ciemat.es/EPS2021PAP/pdf/</w:t>
            </w:r>
          </w:p>
          <w:p>
            <w:pPr>
              <w:pStyle w:val="Normal"/>
              <w:spacing w:lineRule="auto" w:line="240" w:before="0" w:after="0"/>
              <w:rPr>
                <w:sz w:val="20"/>
                <w:szCs w:val="20"/>
              </w:rPr>
            </w:pPr>
            <w:r>
              <w:rPr>
                <w:sz w:val="20"/>
                <w:szCs w:val="20"/>
              </w:rPr>
              <w:t>P4.1028.pdf.</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[14] P. Dhyani, V. Svoboda, V. Istokskaia, J. Mlynář, J. Cerovský, O. Ficker, and V. Linhart, “Design and development of probe</w:t>
            </w:r>
          </w:p>
          <w:p>
            <w:pPr>
              <w:pStyle w:val="Normal"/>
              <w:spacing w:lineRule="auto" w:line="240" w:before="0" w:after="0"/>
              <w:rPr>
                <w:sz w:val="20"/>
                <w:szCs w:val="20"/>
              </w:rPr>
            </w:pPr>
            <w:r>
              <w:rPr>
                <w:sz w:val="20"/>
                <w:szCs w:val="20"/>
              </w:rPr>
              <w:t>for the measurements of runaway electrons inside the Golem tokamak plasma edge,” ser. Europhysics conference abstracts,</w:t>
            </w:r>
          </w:p>
          <w:p>
            <w:pPr>
              <w:pStyle w:val="Normal"/>
              <w:spacing w:lineRule="auto" w:line="240" w:before="0" w:after="0"/>
              <w:rPr>
                <w:sz w:val="20"/>
                <w:szCs w:val="20"/>
              </w:rPr>
            </w:pPr>
            <w:r>
              <w:rPr>
                <w:sz w:val="20"/>
                <w:szCs w:val="20"/>
              </w:rPr>
              <w:t>vol. July, 2019, P1.1016, isbn: 979-10-96389-11-7. [Online]. Available: http://ocs.ciemat.es/EPS2019PAP/pdf/P1.1016.</w:t>
            </w:r>
          </w:p>
          <w:p>
            <w:pPr>
              <w:pStyle w:val="Normal"/>
              <w:spacing w:lineRule="auto" w:line="240" w:before="0" w:after="0"/>
              <w:rPr>
                <w:sz w:val="20"/>
                <w:szCs w:val="20"/>
              </w:rPr>
            </w:pPr>
            <w:r>
              <w:rPr>
                <w:sz w:val="20"/>
                <w:szCs w:val="20"/>
              </w:rPr>
              <w:t>pdf.</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[15] O. Grover, V. Svoboda, and J. Stockel, “Online experimentation at the Golem tokamak,” in 2019 5th Experiment International</w:t>
            </w:r>
          </w:p>
          <w:p>
            <w:pPr>
              <w:pStyle w:val="Normal"/>
              <w:spacing w:lineRule="auto" w:line="240" w:before="0" w:after="0"/>
              <w:rPr>
                <w:sz w:val="20"/>
                <w:szCs w:val="20"/>
              </w:rPr>
            </w:pPr>
            <w:r>
              <w:rPr>
                <w:sz w:val="20"/>
                <w:szCs w:val="20"/>
              </w:rPr>
              <w:t>Conference (exp.at’19), 2019, pp. 220–225. doi: 10.1109/EXPAT.2019.8876482. [Online]. Available: https://ieeexplore.</w:t>
            </w:r>
          </w:p>
          <w:p>
            <w:pPr>
              <w:pStyle w:val="Normal"/>
              <w:spacing w:lineRule="auto" w:line="240" w:before="0" w:after="0"/>
              <w:rPr>
                <w:sz w:val="20"/>
                <w:szCs w:val="20"/>
              </w:rPr>
            </w:pPr>
            <w:r>
              <w:rPr>
                <w:sz w:val="20"/>
                <w:szCs w:val="20"/>
              </w:rPr>
              <w:t>ieee.org/document/8876482.</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[16] S. Kulkov, P. Mácha, V. Istokskkaia, D. Kropáčková, F. Papoušek, J. Adámek, J. Cerovský, O. Ficker, O. Grover, K. Jiráková,</w:t>
            </w:r>
          </w:p>
          <w:p>
            <w:pPr>
              <w:pStyle w:val="Normal"/>
              <w:spacing w:lineRule="auto" w:line="240" w:before="0" w:after="0"/>
              <w:rPr>
                <w:sz w:val="20"/>
                <w:szCs w:val="20"/>
              </w:rPr>
            </w:pPr>
            <w:r>
              <w:rPr>
                <w:sz w:val="20"/>
                <w:szCs w:val="20"/>
              </w:rPr>
              <w:t>J. Stöckel, and V. Svoboda, “Tokamak Golem for fusion education - chapter 10,” ser. Europhysics conference abstracts,</w:t>
            </w:r>
          </w:p>
          <w:p>
            <w:pPr>
              <w:pStyle w:val="Normal"/>
              <w:spacing w:lineRule="auto" w:line="240" w:before="0" w:after="0"/>
              <w:rPr>
                <w:sz w:val="20"/>
                <w:szCs w:val="20"/>
              </w:rPr>
            </w:pPr>
            <w:r>
              <w:rPr>
                <w:sz w:val="20"/>
                <w:szCs w:val="20"/>
              </w:rPr>
              <w:t>vol. July, 2019, P1.1068, isbn: 979-10-96389-11-7. [Online]. Available: http://ocs.ciemat.es/EPS2019PAP/pdf/P1.1068.</w:t>
            </w:r>
          </w:p>
          <w:p>
            <w:pPr>
              <w:pStyle w:val="Normal"/>
              <w:spacing w:lineRule="auto" w:line="240" w:before="0" w:after="0"/>
              <w:rPr>
                <w:sz w:val="20"/>
                <w:szCs w:val="20"/>
              </w:rPr>
            </w:pPr>
            <w:r>
              <w:rPr>
                <w:sz w:val="20"/>
                <w:szCs w:val="20"/>
              </w:rPr>
              <w:t>pdf.</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[17] O. Grover and V. Svoboda and J. Stockel, “Remote demonstration of the Golem tokamak,” in 2019 5th Experiment International Conference (exp.at’19), 2019, pp. 239–240. doi: 10 . 1109 / EXPAT . 2019 . 8876584. [Online]. Available: https :</w:t>
            </w:r>
          </w:p>
          <w:p>
            <w:pPr>
              <w:pStyle w:val="Normal"/>
              <w:spacing w:lineRule="auto" w:line="240" w:before="0" w:after="0"/>
              <w:rPr>
                <w:sz w:val="20"/>
                <w:szCs w:val="20"/>
              </w:rPr>
            </w:pPr>
            <w:r>
              <w:rPr>
                <w:sz w:val="20"/>
                <w:szCs w:val="20"/>
              </w:rPr>
              <w:t>//ieeexplore.ieee.org/document/8876584.</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[18] V. Istokskaia, M. Shkut, J. Cerovsky, M. Farnik, O. Grover, L. Hudec, P. Macha, J. Krbec, V. Svoboda, J. Stockel, and</w:t>
            </w:r>
          </w:p>
          <w:p>
            <w:pPr>
              <w:pStyle w:val="Normal"/>
              <w:spacing w:lineRule="auto" w:line="240" w:before="0" w:after="0"/>
              <w:rPr>
                <w:sz w:val="20"/>
                <w:szCs w:val="20"/>
              </w:rPr>
            </w:pPr>
            <w:r>
              <w:rPr>
                <w:sz w:val="20"/>
                <w:szCs w:val="20"/>
              </w:rPr>
              <w:t>J. Adamek, “Tokamak Golem for fusion education - chapter 9,” vol. July, 2018, pp. 261–264. [Online]. Available: http :</w:t>
            </w:r>
          </w:p>
          <w:p>
            <w:pPr>
              <w:pStyle w:val="Normal"/>
              <w:spacing w:lineRule="auto" w:line="240" w:before="0" w:after="0"/>
              <w:rPr>
                <w:sz w:val="20"/>
                <w:szCs w:val="20"/>
              </w:rPr>
            </w:pPr>
            <w:r>
              <w:rPr>
                <w:sz w:val="20"/>
                <w:szCs w:val="20"/>
              </w:rPr>
              <w:t>//golem.fjfi.cvut.cz/wiki/Presentations/Conferences/EPS/45th_Prague_2018/paper.pdf.</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[19] V. Linhart, D. Bren, A. Casolari, J. Čeřovský, M. Farnı́k, O. Ficker, M. Hetflejš, M. Hron, J. Jakůbek, P. Kulhánek, E.</w:t>
            </w:r>
          </w:p>
          <w:p>
            <w:pPr>
              <w:pStyle w:val="Normal"/>
              <w:spacing w:lineRule="auto" w:line="240" w:before="0" w:after="0"/>
              <w:rPr>
                <w:sz w:val="20"/>
                <w:szCs w:val="20"/>
              </w:rPr>
            </w:pPr>
            <w:r>
              <w:rPr>
                <w:sz w:val="20"/>
                <w:szCs w:val="20"/>
              </w:rPr>
              <w:t>Macúšová, M. Marčišovský, J. Mlynář, P. Švihra, V. Svoboda, J. Urban, J. Varju, and V. Vrba, “First measurement of x-rays</w:t>
            </w:r>
          </w:p>
          <w:p>
            <w:pPr>
              <w:pStyle w:val="Normal"/>
              <w:spacing w:lineRule="auto" w:line="240" w:before="0" w:after="0"/>
              <w:rPr>
                <w:sz w:val="20"/>
                <w:szCs w:val="20"/>
              </w:rPr>
            </w:pPr>
            <w:r>
              <w:rPr>
                <w:sz w:val="20"/>
                <w:szCs w:val="20"/>
              </w:rPr>
              <w:t>generated by runaway electrons in tokamaks using a Timepix3 device with 1 mm thick silicon sensor,” in 2018 IEEE Nuclear</w:t>
            </w:r>
          </w:p>
          <w:p>
            <w:pPr>
              <w:pStyle w:val="Normal"/>
              <w:spacing w:lineRule="auto" w:line="240" w:before="0" w:after="0"/>
              <w:rPr>
                <w:sz w:val="20"/>
                <w:szCs w:val="20"/>
              </w:rPr>
            </w:pPr>
            <w:r>
              <w:rPr>
                <w:sz w:val="20"/>
                <w:szCs w:val="20"/>
              </w:rPr>
              <w:t>Science Symposium and Medical Imaging Conference Proceedings (NSS/MIC), 2018, pp. 1–9. doi: 10.1109/NSSMIC.2018.</w:t>
            </w:r>
          </w:p>
          <w:p>
            <w:pPr>
              <w:pStyle w:val="Normal"/>
              <w:spacing w:lineRule="auto" w:line="240" w:before="0" w:after="0"/>
              <w:rPr>
                <w:sz w:val="20"/>
                <w:szCs w:val="20"/>
              </w:rPr>
            </w:pPr>
            <w:r>
              <w:rPr>
                <w:sz w:val="20"/>
                <w:szCs w:val="20"/>
              </w:rPr>
              <w:t>8824534.  See attached file “GOLEM_biblio_IAEA.pdf”</w:t>
            </w:r>
            <w:r>
              <w:rPr/>
            </w:r>
            <w:r>
              <w:rPr/>
              <w:fldChar w:fldCharType="end"/>
            </w:r>
          </w:p>
          <w:p>
            <w:pPr>
              <w:pStyle w:val="Normal"/>
              <w:spacing w:lineRule="auto" w:line="240" w:before="0" w:after="0"/>
              <w:rPr>
                <w:sz w:val="20"/>
                <w:szCs w:val="20"/>
              </w:rPr>
            </w:pPr>
            <w:r>
              <w:rPr>
                <w:sz w:val="20"/>
                <w:szCs w:val="20"/>
              </w:rPr>
            </w:r>
          </w:p>
        </w:tc>
      </w:tr>
      <w:tr>
        <w:trPr/>
        <w:tc>
          <w:tcPr>
            <w:tcW w:w="9276" w:type="dxa"/>
            <w:tcBorders/>
          </w:tcPr>
          <w:p>
            <w:pPr>
              <w:pStyle w:val="ListParagraph"/>
              <w:numPr>
                <w:ilvl w:val="0"/>
                <w:numId w:val="2"/>
              </w:numPr>
              <w:spacing w:lineRule="auto" w:line="240" w:before="0" w:after="0"/>
              <w:contextualSpacing/>
              <w:rPr>
                <w:sz w:val="20"/>
                <w:szCs w:val="20"/>
              </w:rPr>
            </w:pPr>
            <w:r>
              <w:rPr>
                <w:sz w:val="20"/>
                <w:szCs w:val="20"/>
              </w:rPr>
              <w:t>PhD and Master’s theses that include data from the Project under this contract:</w:t>
            </w:r>
          </w:p>
          <w:p>
            <w:pPr>
              <w:pStyle w:val="Normal"/>
              <w:spacing w:lineRule="auto" w:line="240" w:before="0" w:after="0"/>
              <w:rPr>
                <w:sz w:val="20"/>
                <w:szCs w:val="20"/>
              </w:rPr>
            </w:pPr>
            <w:r>
              <w:fldChar w:fldCharType="begin">
                <w:ffData>
                  <w:name w:val="Bookmark12"/>
                  <w:enabled/>
                  <w:calcOnExit w:val="0"/>
                  <w:textInput/>
                </w:ffData>
              </w:fldChar>
            </w:r>
            <w:r>
              <w:rPr/>
              <w:instrText> FORMTEXT </w:instrText>
            </w:r>
            <w:r>
              <w:rPr/>
            </w:r>
            <w:r>
              <w:rPr/>
              <w:fldChar w:fldCharType="separate"/>
            </w:r>
            <w:r>
              <w:rPr/>
            </w:r>
            <w:r>
              <w:rPr>
                <w:sz w:val="20"/>
                <w:szCs w:val="20"/>
              </w:rPr>
              <w:t>[20] M. Tunkl, “Development of a new runaway electron diagnostics method based on strip semiconductor detectors,” Master Thesis, 2022. [Online]. Available: http : / / golem . fjfi . cvut . cz / wiki / Presentations / Students / MasterThesis /</w:t>
            </w:r>
          </w:p>
          <w:p>
            <w:pPr>
              <w:pStyle w:val="Normal"/>
              <w:spacing w:lineRule="auto" w:line="240" w:before="0" w:after="0"/>
              <w:rPr>
                <w:sz w:val="20"/>
                <w:szCs w:val="20"/>
              </w:rPr>
            </w:pPr>
            <w:r>
              <w:rPr>
                <w:sz w:val="20"/>
                <w:szCs w:val="20"/>
              </w:rPr>
              <w:t>22TunklMarek.pdf.</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[21] D. Cipciar, “Ion and electron temperature study in the edge plasma of the tokamak device,” Master Thesis, 2021. [Online].</w:t>
            </w:r>
          </w:p>
          <w:p>
            <w:pPr>
              <w:pStyle w:val="Normal"/>
              <w:spacing w:lineRule="auto" w:line="240" w:before="0" w:after="0"/>
              <w:rPr>
                <w:sz w:val="20"/>
                <w:szCs w:val="20"/>
              </w:rPr>
            </w:pPr>
            <w:r>
              <w:rPr>
                <w:sz w:val="20"/>
                <w:szCs w:val="20"/>
              </w:rPr>
              <w:t>Available: http://golem.fjfi.cvut.cz/wiki/Presentations/Students/MasterThesis/21DarioCipciar.pdf.</w:t>
            </w:r>
          </w:p>
          <w:p>
            <w:pPr>
              <w:pStyle w:val="Normal"/>
              <w:spacing w:lineRule="auto" w:line="240" w:before="0" w:after="0"/>
              <w:rPr>
                <w:sz w:val="20"/>
                <w:szCs w:val="20"/>
              </w:rPr>
            </w:pPr>
            <w:r>
              <w:rPr/>
            </w:r>
          </w:p>
          <w:p>
            <w:pPr>
              <w:pStyle w:val="Normal"/>
              <w:spacing w:lineRule="auto" w:line="240" w:before="0" w:after="0"/>
              <w:rPr>
                <w:sz w:val="20"/>
                <w:szCs w:val="20"/>
              </w:rPr>
            </w:pPr>
            <w:r>
              <w:rPr>
                <w:sz w:val="20"/>
                <w:szCs w:val="20"/>
              </w:rPr>
              <w:t>[22] P. Macha, “Edge plasma studies in tokamaks by the mean of advanced electric probes.,” Master Thesis, 2020. [Online].</w:t>
            </w:r>
          </w:p>
          <w:p>
            <w:pPr>
              <w:pStyle w:val="Normal"/>
              <w:spacing w:lineRule="auto" w:line="240" w:before="0" w:after="0"/>
              <w:rPr>
                <w:sz w:val="20"/>
                <w:szCs w:val="20"/>
              </w:rPr>
            </w:pPr>
            <w:r>
              <w:rPr>
                <w:sz w:val="20"/>
                <w:szCs w:val="20"/>
              </w:rPr>
              <w:t>Available: http://golem.fjfi.cvut.cz/wiki/Presentations/Students/MasterThesis/20MachaPetr.pdf.  See attached file “GOLEM_biblio_IAEA.pdf”  </w:t>
            </w:r>
            <w:r>
              <w:rPr/>
            </w:r>
            <w:r>
              <w:rPr/>
              <w:fldChar w:fldCharType="end"/>
            </w:r>
          </w:p>
          <w:p>
            <w:pPr>
              <w:pStyle w:val="ListParagraph"/>
              <w:spacing w:lineRule="auto" w:line="240" w:before="0" w:after="0"/>
              <w:ind w:left="360" w:hanging="0"/>
              <w:contextualSpacing/>
              <w:rPr>
                <w:sz w:val="20"/>
                <w:szCs w:val="20"/>
              </w:rPr>
            </w:pPr>
            <w:r>
              <w:rPr>
                <w:sz w:val="20"/>
                <w:szCs w:val="20"/>
              </w:rPr>
            </w:r>
          </w:p>
        </w:tc>
      </w:tr>
      <w:tr>
        <w:trPr/>
        <w:tc>
          <w:tcPr>
            <w:tcW w:w="9276" w:type="dxa"/>
            <w:tcBorders/>
          </w:tcPr>
          <w:p>
            <w:pPr>
              <w:pStyle w:val="ListParagraph"/>
              <w:numPr>
                <w:ilvl w:val="0"/>
                <w:numId w:val="2"/>
              </w:numPr>
              <w:spacing w:lineRule="auto" w:line="240" w:before="0" w:after="0"/>
              <w:contextualSpacing/>
              <w:rPr>
                <w:rFonts w:ascii="Times New Roman" w:hAnsi="Times New Roman" w:eastAsia="Times New Roman" w:cs="Times New Roman"/>
                <w:bCs/>
                <w:sz w:val="20"/>
                <w:szCs w:val="20"/>
              </w:rPr>
            </w:pPr>
            <w:r>
              <w:rPr>
                <w:sz w:val="20"/>
                <w:szCs w:val="20"/>
              </w:rPr>
              <w:t xml:space="preserve">Activities included in the programme of work which were planned, but were not implemented. Please state reason (i.e.: delays, issues encountered): </w:t>
            </w:r>
          </w:p>
          <w:p>
            <w:pPr>
              <w:pStyle w:val="Normal"/>
              <w:spacing w:lineRule="auto" w:line="240" w:before="0" w:after="0"/>
              <w:rPr>
                <w:sz w:val="20"/>
                <w:szCs w:val="20"/>
              </w:rPr>
            </w:pPr>
            <w:r>
              <w:fldChar w:fldCharType="begin">
                <w:ffData>
                  <w:name w:val="Bookmark13"/>
                  <w:enabled/>
                  <w:calcOnExit w:val="0"/>
                  <w:textInput/>
                </w:ffData>
              </w:fldChar>
            </w:r>
            <w:r>
              <w:rPr/>
              <w:instrText> FORMTEXT </w:instrText>
            </w:r>
            <w:r>
              <w:rPr/>
            </w:r>
            <w:r>
              <w:rPr/>
              <w:fldChar w:fldCharType="separate"/>
            </w:r>
            <w:r>
              <w:rPr/>
            </w:r>
            <w:r>
              <w:rPr>
                <w:sz w:val="20"/>
                <w:szCs w:val="20"/>
              </w:rPr>
              <w:t>   We planned to organize at least one more “GOleM TRAIning Course“, but we had to cancelled it twice due to COVID pandemic situation.</w:t>
            </w:r>
            <w:r>
              <w:rPr/>
            </w:r>
            <w:r>
              <w:rPr/>
              <w:fldChar w:fldCharType="end"/>
            </w:r>
          </w:p>
          <w:p>
            <w:pPr>
              <w:pStyle w:val="Normal"/>
              <w:spacing w:lineRule="auto" w:line="240" w:before="0" w:after="0"/>
              <w:rPr>
                <w:sz w:val="20"/>
                <w:szCs w:val="20"/>
              </w:rPr>
            </w:pPr>
            <w:r>
              <w:rPr>
                <w:sz w:val="20"/>
                <w:szCs w:val="20"/>
              </w:rPr>
            </w:r>
          </w:p>
        </w:tc>
      </w:tr>
      <w:tr>
        <w:trPr/>
        <w:tc>
          <w:tcPr>
            <w:tcW w:w="9276" w:type="dxa"/>
            <w:tcBorders/>
          </w:tcPr>
          <w:p>
            <w:pPr>
              <w:pStyle w:val="ListParagraph"/>
              <w:numPr>
                <w:ilvl w:val="0"/>
                <w:numId w:val="2"/>
              </w:numPr>
              <w:spacing w:lineRule="auto" w:line="240" w:before="0" w:after="0"/>
              <w:contextualSpacing/>
              <w:rPr>
                <w:sz w:val="20"/>
                <w:szCs w:val="20"/>
              </w:rPr>
            </w:pPr>
            <w:r>
              <w:rPr>
                <w:sz w:val="20"/>
                <w:szCs w:val="20"/>
              </w:rPr>
              <w:t>Please provide a short financial overview on how the IAEA contribution to this Project was used and if other contributions, either from a technical cooperation project, or other sources of funding, were used for the implementation of the project:</w:t>
            </w:r>
          </w:p>
          <w:p>
            <w:pPr>
              <w:pStyle w:val="Normal"/>
              <w:spacing w:lineRule="auto" w:line="240" w:before="0" w:after="0"/>
              <w:rPr>
                <w:sz w:val="20"/>
                <w:szCs w:val="20"/>
              </w:rPr>
            </w:pPr>
            <w:r>
              <w:fldChar w:fldCharType="begin">
                <w:ffData>
                  <w:name w:val="Bookmark14"/>
                  <w:enabled/>
                  <w:calcOnExit w:val="0"/>
                  <w:textInput/>
                </w:ffData>
              </w:fldChar>
            </w:r>
            <w:r>
              <w:rPr/>
              <w:instrText> FORMTEXT </w:instrText>
            </w:r>
            <w:r>
              <w:rPr/>
            </w:r>
            <w:r>
              <w:rPr/>
              <w:fldChar w:fldCharType="separate"/>
            </w:r>
            <w:r>
              <w:rPr/>
            </w:r>
            <w:r>
              <w:rPr>
                <w:sz w:val="20"/>
                <w:szCs w:val="20"/>
              </w:rPr>
              <w:t> The funds were used to cover the cost of diagnostic and data acquisition systems, services associated with the production of specialized instruments, laboratory material, remuneration for trainers and supervisors of student works,  conference fee and travel expenses, IT support and shot database management, SW licenses, and repairs of special equipments.    </w:t>
            </w:r>
            <w:r>
              <w:rPr/>
            </w:r>
            <w:r>
              <w:rPr/>
              <w:fldChar w:fldCharType="end"/>
            </w:r>
          </w:p>
          <w:p>
            <w:pPr>
              <w:pStyle w:val="Normal"/>
              <w:spacing w:lineRule="auto" w:line="240" w:before="0" w:after="0"/>
              <w:rPr>
                <w:sz w:val="20"/>
                <w:szCs w:val="20"/>
              </w:rPr>
            </w:pPr>
            <w:r>
              <w:rPr>
                <w:sz w:val="20"/>
                <w:szCs w:val="20"/>
              </w:rPr>
              <w:t xml:space="preserve"> </w:t>
            </w:r>
          </w:p>
        </w:tc>
      </w:tr>
      <w:tr>
        <w:trPr/>
        <w:tc>
          <w:tcPr>
            <w:tcW w:w="9276" w:type="dxa"/>
            <w:tcBorders/>
          </w:tcPr>
          <w:p>
            <w:pPr>
              <w:pStyle w:val="ListParagraph"/>
              <w:numPr>
                <w:ilvl w:val="0"/>
                <w:numId w:val="2"/>
              </w:numPr>
              <w:spacing w:lineRule="auto" w:line="240" w:before="0" w:after="0"/>
              <w:contextualSpacing/>
              <w:rPr>
                <w:rFonts w:ascii="Times New Roman" w:hAnsi="Times New Roman" w:eastAsia="Times New Roman" w:cs="Times New Roman"/>
                <w:bCs/>
                <w:sz w:val="20"/>
                <w:szCs w:val="20"/>
              </w:rPr>
            </w:pPr>
            <w:r>
              <w:rPr>
                <w:sz w:val="20"/>
                <w:szCs w:val="20"/>
              </w:rPr>
              <w:t>Please describe the impact and relevance of this Project, as well as any recommended follow-up actions :</w:t>
            </w:r>
          </w:p>
          <w:p>
            <w:pPr>
              <w:pStyle w:val="Normal"/>
              <w:spacing w:lineRule="auto" w:line="240" w:before="0" w:after="0"/>
              <w:rPr>
                <w:sz w:val="20"/>
                <w:szCs w:val="20"/>
              </w:rPr>
            </w:pPr>
            <w:r>
              <w:fldChar w:fldCharType="begin">
                <w:ffData>
                  <w:name w:val="Bookmark15"/>
                  <w:enabled/>
                  <w:calcOnExit w:val="0"/>
                  <w:textInput/>
                </w:ffData>
              </w:fldChar>
            </w:r>
            <w:r>
              <w:rPr/>
              <w:instrText> FORMTEXT </w:instrText>
            </w:r>
            <w:r>
              <w:rPr/>
            </w:r>
            <w:r>
              <w:rPr/>
              <w:fldChar w:fldCharType="separate"/>
            </w:r>
            <w:r>
              <w:rPr/>
            </w:r>
            <w:r>
              <w:rPr>
                <w:sz w:val="20"/>
                <w:szCs w:val="20"/>
              </w:rPr>
              <w:t>   It is said that education is the key to success in the greatest human projects. From this point of view, the contribution of the GOLEM tokamak (mainly various local and remote training courses for students of universities and various seminars from all over the world) with the support of the IAEA CRP is a very important contribution to solving such a challenging vision as mastering thermonuclear fusion in terrestrial conditions. On the other hand, education does not have unconditional financial support and it is necessary to apply for support in smaller amounts to all possible institutions, and so these IAEA funds significantly helped the production of an infinite number of small procedural steps in solving various experimental and technological problems related to student activities at this facility. As the leader of this experiment, I am very grateful for this support, and at least similar support for the following years would greatly help my work.  </w:t>
            </w:r>
            <w:r>
              <w:rPr/>
            </w:r>
            <w:r>
              <w:rPr/>
              <w:fldChar w:fldCharType="end"/>
            </w:r>
          </w:p>
          <w:p>
            <w:pPr>
              <w:pStyle w:val="Normal"/>
              <w:spacing w:lineRule="auto" w:line="240" w:before="0" w:after="0"/>
              <w:rPr>
                <w:sz w:val="20"/>
                <w:szCs w:val="20"/>
              </w:rPr>
            </w:pPr>
            <w:r>
              <w:rPr>
                <w:sz w:val="20"/>
                <w:szCs w:val="20"/>
              </w:rPr>
            </w:r>
          </w:p>
        </w:tc>
      </w:tr>
    </w:tbl>
    <w:p>
      <w:pPr>
        <w:pStyle w:val="Normal"/>
        <w:spacing w:before="0" w:after="0"/>
        <w:rPr>
          <w:sz w:val="16"/>
          <w:szCs w:val="16"/>
        </w:rPr>
      </w:pPr>
      <w:r>
        <w:rPr>
          <w:sz w:val="16"/>
          <w:szCs w:val="16"/>
        </w:rPr>
      </w:r>
    </w:p>
    <w:p>
      <w:pPr>
        <w:pStyle w:val="Normal"/>
        <w:rPr>
          <w:rFonts w:ascii="Calibri" w:hAnsi="Calibri"/>
        </w:rPr>
      </w:pPr>
      <w:r>
        <w:rPr/>
        <w:t>CSI Name and signature:</w:t>
        <w:tab/>
        <w:tab/>
        <w:tab/>
        <w:tab/>
        <w:tab/>
        <w:tab/>
        <w:t xml:space="preserve">Date: </w:t>
      </w:r>
      <w:r>
        <w:fldChar w:fldCharType="begin">
          <w:ffData>
            <w:name w:val="Bookmark16"/>
            <w:enabled/>
            <w:calcOnExit w:val="0"/>
            <w:textInput/>
          </w:ffData>
        </w:fldChar>
      </w:r>
      <w:r>
        <w:rPr/>
        <w:instrText> FORMTEXT </w:instrText>
      </w:r>
      <w:r>
        <w:rPr/>
      </w:r>
      <w:r>
        <w:rPr/>
        <w:fldChar w:fldCharType="separate"/>
      </w:r>
      <w:r>
        <w:rPr/>
        <w:t>  2.12.2022   </w:t>
      </w:r>
      <w:r>
        <w:rPr/>
      </w:r>
      <w:r>
        <w:rPr/>
        <w:fldChar w:fldCharType="end"/>
      </w:r>
    </w:p>
    <w:p>
      <w:pPr>
        <w:pStyle w:val="Normal"/>
        <w:spacing w:before="0" w:after="200"/>
        <w:rPr/>
      </w:pPr>
      <w:r>
        <w:fldChar w:fldCharType="begin">
          <w:ffData>
            <w:name w:val="Bookmark17"/>
            <w:enabled/>
            <w:calcOnExit w:val="0"/>
            <w:textInput/>
          </w:ffData>
        </w:fldChar>
      </w:r>
      <w:r>
        <w:rPr/>
        <w:instrText> FORMTEXT </w:instrText>
      </w:r>
      <w:r>
        <w:rPr/>
      </w:r>
      <w:r>
        <w:rPr/>
        <w:fldChar w:fldCharType="separate"/>
      </w:r>
      <w:r>
        <w:rPr/>
        <w:t>      Vojtěch Svoboda   </w:t>
      </w:r>
      <w: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1334135" cy="104838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5"/>
                    <a:stretch>
                      <a:fillRect/>
                    </a:stretch>
                  </pic:blipFill>
                  <pic:spPr bwMode="auto">
                    <a:xfrm>
                      <a:off x="0" y="0"/>
                      <a:ext cx="1334135" cy="1048385"/>
                    </a:xfrm>
                    <a:prstGeom prst="rect">
                      <a:avLst/>
                    </a:prstGeom>
                  </pic:spPr>
                </pic:pic>
              </a:graphicData>
            </a:graphic>
          </wp:anchor>
        </w:drawing>
      </w:r>
      <w:r>
        <w:rPr/>
        <w:fldChar w:fldCharType="end"/>
      </w:r>
      <w:r>
        <w:rPr/>
      </w:r>
    </w:p>
    <w:sectPr>
      <w:headerReference w:type="default" r:id="rId6"/>
      <w:type w:val="nextPage"/>
      <w:pgSz w:w="11906" w:h="16838"/>
      <w:pgMar w:left="1440" w:right="1440" w:header="708" w:top="1440" w:footer="0" w:bottom="1440" w:gutter="0"/>
      <w:pgNumType w:fmt="decimal"/>
      <w:formProt w:val="tru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CMU Sans Serif">
    <w:charset w:val="01"/>
    <w:family w:val="roman"/>
    <w:pitch w:val="variable"/>
  </w:font>
  <w:font w:name="Courier New">
    <w:charset w:val="01"/>
    <w:family w:val="auto"/>
    <w:pitch w:val="default"/>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overflowPunct w:val="false"/>
      <w:textAlignment w:val="baseline"/>
      <w:rPr>
        <w:b/>
        <w:b/>
        <w:bCs/>
        <w:sz w:val="24"/>
        <w:szCs w:val="24"/>
      </w:rPr>
    </w:pPr>
    <w:r>
      <w:rPr/>
      <w:drawing>
        <wp:inline distT="0" distB="0" distL="0" distR="0">
          <wp:extent cx="2238375" cy="5461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1"/>
                  <a:stretch>
                    <a:fillRect/>
                  </a:stretch>
                </pic:blipFill>
                <pic:spPr bwMode="auto">
                  <a:xfrm>
                    <a:off x="0" y="0"/>
                    <a:ext cx="2238375" cy="546100"/>
                  </a:xfrm>
                  <a:prstGeom prst="rect">
                    <a:avLst/>
                  </a:prstGeom>
                </pic:spPr>
              </pic:pic>
            </a:graphicData>
          </a:graphic>
        </wp:inline>
      </w:drawing>
    </w:r>
  </w:p>
  <w:p>
    <w:pPr>
      <w:pStyle w:val="Normal"/>
      <w:spacing w:lineRule="auto" w:line="240" w:before="0" w:after="0"/>
      <w:rPr>
        <w:sz w:val="14"/>
        <w:szCs w:val="14"/>
        <w:lang w:val="fr-FR"/>
      </w:rPr>
    </w:pPr>
    <w:r>
      <w:rPr>
        <w:sz w:val="14"/>
        <w:szCs w:val="14"/>
        <w:lang w:val="fr-FR"/>
      </w:rPr>
      <w:t>Vienna-International Centre, PO Box 100,</w:t>
    </w:r>
  </w:p>
  <w:p>
    <w:pPr>
      <w:pStyle w:val="Normal"/>
      <w:spacing w:lineRule="auto" w:line="240" w:before="0" w:after="0"/>
      <w:rPr>
        <w:sz w:val="14"/>
        <w:szCs w:val="14"/>
        <w:lang w:val="fr-FR"/>
      </w:rPr>
    </w:pPr>
    <w:r>
      <w:rPr>
        <w:sz w:val="14"/>
        <w:szCs w:val="14"/>
        <w:lang w:val="fr-FR"/>
      </w:rPr>
      <w:t>1400 Vienna, Austria</w:t>
    </w:r>
  </w:p>
  <w:p>
    <w:pPr>
      <w:pStyle w:val="Normal"/>
      <w:spacing w:lineRule="auto" w:line="240" w:before="0" w:after="0"/>
      <w:rPr>
        <w:sz w:val="14"/>
        <w:szCs w:val="14"/>
        <w:lang w:val="fr-FR"/>
      </w:rPr>
    </w:pPr>
    <w:r>
      <w:rPr>
        <w:sz w:val="14"/>
        <w:szCs w:val="14"/>
        <w:lang w:val="fr-FR"/>
      </w:rPr>
      <w:t xml:space="preserve">Phone: (+43 1) 2600 – Fax: (+43 1) 26007, </w:t>
    </w:r>
  </w:p>
  <w:p>
    <w:pPr>
      <w:pStyle w:val="Normal"/>
      <w:spacing w:lineRule="auto" w:line="240" w:before="0" w:after="0"/>
      <w:rPr>
        <w:rStyle w:val="InternetLink"/>
        <w:sz w:val="14"/>
        <w:szCs w:val="14"/>
        <w:lang w:val="fr-FR"/>
      </w:rPr>
    </w:pPr>
    <w:r>
      <w:rPr>
        <w:sz w:val="14"/>
        <w:szCs w:val="14"/>
        <w:lang w:val="fr-FR"/>
      </w:rPr>
      <w:t xml:space="preserve">Email: </w:t>
    </w:r>
    <w:hyperlink r:id="rId2">
      <w:r>
        <w:rPr>
          <w:rStyle w:val="InternetLink"/>
          <w:sz w:val="14"/>
          <w:szCs w:val="14"/>
          <w:lang w:val="fr-FR"/>
        </w:rPr>
        <w:t>Official.Mail@iaea.org</w:t>
      </w:r>
    </w:hyperlink>
  </w:p>
  <w:p>
    <w:pPr>
      <w:pStyle w:val="Normal"/>
      <w:spacing w:lineRule="auto" w:line="240" w:before="0" w:after="0"/>
      <w:rPr>
        <w:rStyle w:val="InternetLink"/>
        <w:sz w:val="14"/>
        <w:szCs w:val="14"/>
        <w:lang w:val="fr-FR"/>
      </w:rPr>
    </w:pPr>
    <w:r>
      <w:rPr>
        <w:sz w:val="14"/>
        <w:szCs w:val="14"/>
        <w:lang w:val="fr-F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forms" w:enforcement="1" w:cryptProviderType="rsaAES" w:cryptAlgorithmClass="hash" w:cryptAlgorithmType="typeAny" w:cryptAlgorithmSid="14" w:cryptSpinCount="100000" w:hash="mChlyweuwAga2vLWQPqhxgvQMJIVdtMy2XuLvIX0r+gLnkzozEn3Dw2Awx+1nwhAiGAcjUNTmOQcvL5ONcjwnQ==" w:salt="HFZLEw7HBd34qJjBhR1kXQ=="/>
  <w:themeFontLang w:val="en-GB"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72ef2"/>
    <w:pPr>
      <w:widowControl/>
      <w:suppressAutoHyphens w:val="true"/>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basedOn w:val="DefaultParagraphFont"/>
    <w:link w:val="ListParagraph"/>
    <w:uiPriority w:val="34"/>
    <w:qFormat/>
    <w:rsid w:val="00172ef2"/>
    <w:rPr/>
  </w:style>
  <w:style w:type="character" w:styleId="HeaderChar" w:customStyle="1">
    <w:name w:val="Header Char"/>
    <w:basedOn w:val="DefaultParagraphFont"/>
    <w:link w:val="Header"/>
    <w:uiPriority w:val="99"/>
    <w:qFormat/>
    <w:rsid w:val="00172ef2"/>
    <w:rPr/>
  </w:style>
  <w:style w:type="character" w:styleId="FooterChar" w:customStyle="1">
    <w:name w:val="Footer Char"/>
    <w:basedOn w:val="DefaultParagraphFont"/>
    <w:link w:val="Footer"/>
    <w:uiPriority w:val="99"/>
    <w:qFormat/>
    <w:rsid w:val="00172ef2"/>
    <w:rPr/>
  </w:style>
  <w:style w:type="character" w:styleId="BalloonTextChar" w:customStyle="1">
    <w:name w:val="Balloon Text Char"/>
    <w:basedOn w:val="DefaultParagraphFont"/>
    <w:link w:val="BalloonText"/>
    <w:uiPriority w:val="99"/>
    <w:semiHidden/>
    <w:qFormat/>
    <w:rsid w:val="00172ef2"/>
    <w:rPr>
      <w:rFonts w:ascii="Tahoma" w:hAnsi="Tahoma" w:cs="Tahoma"/>
      <w:sz w:val="16"/>
      <w:szCs w:val="16"/>
    </w:rPr>
  </w:style>
  <w:style w:type="character" w:styleId="InternetLink">
    <w:name w:val="Hyperlink"/>
    <w:basedOn w:val="DefaultParagraphFont"/>
    <w:rsid w:val="00172ef2"/>
    <w:rPr>
      <w:color w:val="0000FF" w:themeColor="hyperlink"/>
      <w:u w:val="single"/>
    </w:rPr>
  </w:style>
  <w:style w:type="character" w:styleId="UnresolvedMention">
    <w:name w:val="Unresolved Mention"/>
    <w:basedOn w:val="DefaultParagraphFont"/>
    <w:uiPriority w:val="99"/>
    <w:semiHidden/>
    <w:unhideWhenUsed/>
    <w:qFormat/>
    <w:rsid w:val="00f062ac"/>
    <w:rPr>
      <w:color w:val="808080"/>
      <w:shd w:fill="E6E6E6" w:val="clear"/>
    </w:rPr>
  </w:style>
  <w:style w:type="character" w:styleId="VisitedInternetLink">
    <w:name w:val="FollowedHyperlink"/>
    <w:basedOn w:val="DefaultParagraphFont"/>
    <w:uiPriority w:val="99"/>
    <w:semiHidden/>
    <w:unhideWhenUsed/>
    <w:rsid w:val="00f062ac"/>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link w:val="ListParagraphChar"/>
    <w:uiPriority w:val="34"/>
    <w:qFormat/>
    <w:rsid w:val="00172ef2"/>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HeaderChar"/>
    <w:unhideWhenUsed/>
    <w:rsid w:val="00172ef2"/>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172ef2"/>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172ef2"/>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172e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aea.org/services/coordinated-research-activities" TargetMode="External"/><Relationship Id="rId3" Type="http://schemas.openxmlformats.org/officeDocument/2006/relationships/hyperlink" Target="mailto:research.contracts@iaea.org" TargetMode="Externa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Official.Mail@iae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C30B8-63AA-4C2F-A03D-52C2A44DE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Application>LibreOffice/6.4.7.2$Linux_X86_64 LibreOffice_project/40$Build-2</Application>
  <Pages>7</Pages>
  <Words>2299</Words>
  <Characters>13934</Characters>
  <CharactersWithSpaces>16137</CharactersWithSpaces>
  <Paragraphs>135</Paragraphs>
  <Company>IAEA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2018-04-17T09:29:00Z</dcterms:created>
  <dc:creator>COLINET, Nathalie</dc:creator>
  <dc:description/>
  <dc:language>cs-CZ</dc:language>
  <cp:lastModifiedBy/>
  <cp:lastPrinted>2018-04-17T09:24:00Z</cp:lastPrinted>
  <dcterms:modified xsi:type="dcterms:W3CDTF">2023-02-06T11:49:12Z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IAEA</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